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البدري
</w:t>
      </w:r>
    </w:p>
    <w:p>
      <w:pPr>
        <w:jc w:val="start"/>
        <w:bidi/>
      </w:pPr>
      <w:r>
        <w:rPr>
          <w:rFonts w:ascii="arial" w:hAnsi="arial" w:eastAsia="arial" w:cs="arial"/>
          <w:sz w:val="28"/>
          <w:szCs w:val="28"/>
          <w:b w:val="1"/>
          <w:bCs w:val="1"/>
          <w:rtl/>
        </w:rPr>
        <w:t xml:space="preserve">أبو محمد البدري
</w:t>
      </w:r>
    </w:p>
    <w:p>
      <w:pPr/>
      <w:r>
        <w:rPr/>
        <w:t xml:space="preserve">أبو محمد البدري (ب د ع) أبو محمد البدري الشامي.</w:t>
      </w:r>
    </w:p>
    <w:p/>
    <w:p>
      <w:pPr/>
      <w:r>
        <w:rPr/>
        <w:t xml:space="preserve">أخبرنا أبو أحمد عبد الوهاب بن أبي منصور الأمين بإسناده عن أبي داود: أخبرنا القعنبي عن مالك، عن يحيى بن سعيد الأنصاري، عن محمد بن يحيى بن حبان، عن عبد الله بن محيريز: أن رجلا كان بالشام يكنى أبا محمد: كانت له صحبة قال: إن الوتر واجب. قال المخدجي: فأخبرت عبادة بن الصامت، فقال: كذب أبو محمد. </w:t>
      </w:r>
    </w:p>
    <w:p/>
    <w:p>
      <w:pPr/>
      <w:r>
        <w:rPr/>
        <w:t xml:space="preserve">قيل: إن اسمه مسعود بن أوس بن زيد بن أصرم بن زيد بن ثعلبة بن غنم بن مالك بن النجار الأنصاري النجاري، شهد بدرا. ولم يذكره ابن إسحاق في أهل بدر، وعداده في الشاميين سكن داريا.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1394)/(دار الكتب العلمية - بيروت،1994،ط 1،ج 6،ص 274)/(دار الفكر - بيروت،1989،ط 1،ج 5،ص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2026-09-20T23:28:01+03:00</dcterms:created>
  <dcterms:modified xsi:type="dcterms:W3CDTF">2026-09-20T23:28:01+03:00</dcterms:modified>
</cp:coreProperties>
</file>

<file path=docProps/custom.xml><?xml version="1.0" encoding="utf-8"?>
<Properties xmlns="http://schemas.openxmlformats.org/officeDocument/2006/custom-properties" xmlns:vt="http://schemas.openxmlformats.org/officeDocument/2006/docPropsVTypes"/>
</file>