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القين الخزاعي
</w:t>
      </w:r>
    </w:p>
    <w:p>
      <w:pPr>
        <w:jc w:val="start"/>
        <w:bidi/>
      </w:pPr>
      <w:r>
        <w:rPr>
          <w:rFonts w:ascii="arial" w:hAnsi="arial" w:eastAsia="arial" w:cs="arial"/>
          <w:sz w:val="28"/>
          <w:szCs w:val="28"/>
          <w:b w:val="1"/>
          <w:bCs w:val="1"/>
          <w:rtl/>
        </w:rPr>
        <w:t xml:space="preserve">أبو القين الخزاعي
</w:t>
      </w:r>
    </w:p>
    <w:p>
      <w:pPr/>
      <w:r>
        <w:rPr/>
        <w:t xml:space="preserve">أبو القين الخزاعي (د) أبو القين الخزاعي.</w:t>
      </w:r>
    </w:p>
    <w:p/>
    <w:p>
      <w:pPr/>
      <w:r>
        <w:rPr/>
        <w:t xml:space="preserve">قال: وقف عليه النبي صلى الله عليه وسلم. وروى عنه أسيد بن ثمامة. تقدم ذكره.</w:t>
      </w:r>
    </w:p>
    <w:p/>
    <w:p>
      <w:pPr/>
      <w:r>
        <w:rPr/>
        <w:t xml:space="preserve">أخرجه ابن منده ترجمة ثانية غير الذي قبله، والعجب منه أنه نسبه في الترجمتين خزاعيا، فلو جعل الأولى حضرميا والثانية خزاعيا، لكان له عذر. وأما أبو نعيم وأبو عمر فلم يخرجا غير واحد، لعلمهما أنه واحد، والله أعلم.</w:t>
      </w:r>
    </w:p>
    <w:p>
      <w:pPr>
        <w:jc w:val="start"/>
        <w:bidi/>
      </w:pPr>
      <w:r>
        <w:rPr>
          <w:sz w:val="24"/>
          <w:szCs w:val="24"/>
          <w:b w:val="1"/>
          <w:bCs w:val="1"/>
          <w:rtl/>
        </w:rPr>
        <w:t xml:space="preserve">
أسد الغابة في معرفة الصحابة،(دار ابن حزم - بيروت،2012،ط 1،ج 1،ص 1386)/(دار الكتب العلمية - بيروت،1994،ط 1،ج 6،ص 254)/(دار الفكر - بيروت،1989،ط 1،ج 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القين الخزاعي
</w:t>
      </w:r>
    </w:p>
    <w:p>
      <w:pPr/>
      <w:r>
        <w:rPr/>
        <w:t xml:space="preserve">أبو القين الخزاعي روى أسيد بن عامر عن أبيه- أنه قال: وقف علينا النبي صلى الله عليه وسلم.</w:t>
      </w:r>
    </w:p>
    <w:p/>
    <w:p>
      <w:pPr/>
      <w:r>
        <w:rPr/>
        <w:t xml:space="preserve">ذكره ابن مندة مختصرا، وأفرده عن شيخ سعيد بن جمهان. ويحتمل أن يكون هو آخر، فإن أسلم أخو خزاعة. والصحيح في الأول أنه أسلمي.</w:t>
      </w:r>
    </w:p>
    <w:p>
      <w:pPr>
        <w:jc w:val="start"/>
        <w:bidi/>
      </w:pPr>
      <w:r>
        <w:rPr>
          <w:sz w:val="24"/>
          <w:szCs w:val="24"/>
          <w:b w:val="1"/>
          <w:bCs w:val="1"/>
          <w:rtl/>
        </w:rPr>
        <w:t xml:space="preserve">
الإصابة في تمييز الصحابة،(دار الكتب العلمية - بيروت،1995،ط 1،ج 7،ص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2026-09-23T02:06:47+03:00</dcterms:created>
  <dcterms:modified xsi:type="dcterms:W3CDTF">2026-09-23T02:06:47+03:00</dcterms:modified>
</cp:coreProperties>
</file>

<file path=docProps/custom.xml><?xml version="1.0" encoding="utf-8"?>
<Properties xmlns="http://schemas.openxmlformats.org/officeDocument/2006/custom-properties" xmlns:vt="http://schemas.openxmlformats.org/officeDocument/2006/docPropsVTypes"/>
</file>