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جحاف
</w:t>
      </w:r>
    </w:p>
    <w:p>
      <w:pPr>
        <w:jc w:val="start"/>
        <w:bidi/>
      </w:pPr>
      <w:r>
        <w:rPr>
          <w:rFonts w:ascii="arial" w:hAnsi="arial" w:eastAsia="arial" w:cs="arial"/>
          <w:sz w:val="28"/>
          <w:szCs w:val="28"/>
          <w:b w:val="1"/>
          <w:bCs w:val="1"/>
          <w:rtl/>
        </w:rPr>
        <w:t xml:space="preserve">جحاف
</w:t>
      </w:r>
    </w:p>
    <w:p>
      <w:pPr/>
      <w:r>
        <w:rPr/>
        <w:t xml:space="preserve">جحاف  زيد بن علي بن إبراهيم ابن محمد جحاف: وزير يماني من الفضلاء الأجواد. أثنى عليه صاحب السلافة، وقال:’’ لما دخلت المخا عام 1066 هـ ، كان هو الوالي عليها، وقبلة القاصد إليها، ورأيت من بره ما أقر العين وملأ اليدين. . ’’ ولد ونشأ في حبور (في الشمال الغربي من صنعاء) وأستوزره المتوكل على الله إسماعيل بن القاسم، فكان خليله وأليفه. وتولى له بندر المخا وما يليه، وكان أعظم الولايات باليمن في عصره. وعاد إلى الوزارة سنة 1081 هـ ، فاستمر إلى خلافة المهدي أحمد بن الحسن، ثم أعتزل الأعمال معتذرا بكبر سنه. وتوفي بالروضة، ودفن بصنعاء. وله آثار عمرانية معروفة في اليمن إلى الآن. </w:t>
      </w:r>
    </w:p>
    <w:p>
      <w:pPr>
        <w:jc w:val="start"/>
        <w:bidi/>
      </w:pPr>
      <w:r>
        <w:rPr>
          <w:sz w:val="24"/>
          <w:szCs w:val="24"/>
          <w:b w:val="1"/>
          <w:bCs w:val="1"/>
          <w:rtl/>
        </w:rPr>
        <w:t xml:space="preserve">
الأعلام،(دار العلم للملايين - بيروت،2002،ط 15،ج 3،ص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2026-09-25T04:43:12+03:00</dcterms:created>
  <dcterms:modified xsi:type="dcterms:W3CDTF">2026-09-25T04:43:12+03:00</dcterms:modified>
</cp:coreProperties>
</file>

<file path=docProps/custom.xml><?xml version="1.0" encoding="utf-8"?>
<Properties xmlns="http://schemas.openxmlformats.org/officeDocument/2006/custom-properties" xmlns:vt="http://schemas.openxmlformats.org/officeDocument/2006/docPropsVTypes"/>
</file>