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 الله
</w:t>
      </w:r>
    </w:p>
    <w:p>
      <w:pPr>
        <w:jc w:val="start"/>
        <w:bidi/>
      </w:pPr>
      <w:r>
        <w:rPr>
          <w:rFonts w:ascii="arial" w:hAnsi="arial" w:eastAsia="arial" w:cs="arial"/>
          <w:sz w:val="28"/>
          <w:szCs w:val="28"/>
          <w:b w:val="1"/>
          <w:bCs w:val="1"/>
          <w:rtl/>
        </w:rPr>
        <w:t xml:space="preserve">أبو عبيد الله
</w:t>
      </w:r>
    </w:p>
    <w:p>
      <w:pPr/>
      <w:r>
        <w:rPr/>
        <w:t xml:space="preserve">أبو عبيد الله (ب) أبو عبيد الله جد حرب بن عبيد الله. </w:t>
      </w:r>
    </w:p>
    <w:p/>
    <w:p>
      <w:pPr/>
      <w:r>
        <w:rPr/>
        <w:t xml:space="preserve">أخرجه أبو عمر مختصرا، وقال: له صحبة ولا أحفظ له خبرا. </w:t>
      </w:r>
    </w:p>
    <w:p>
      <w:pPr>
        <w:jc w:val="start"/>
        <w:bidi/>
      </w:pPr>
      <w:r>
        <w:rPr>
          <w:sz w:val="24"/>
          <w:szCs w:val="24"/>
          <w:b w:val="1"/>
          <w:bCs w:val="1"/>
          <w:rtl/>
        </w:rPr>
        <w:t xml:space="preserve">
أسد الغابة في معرفة الصحابة،(دار ابن حزم - بيروت،2012،ط 1،ج 1،ص 1361)/(دار الكتب العلمية - بيروت،1994،ط 1،ج 6،ص 199)/(دار الفكر - بيروت،1989،ط 1،ج 5،ص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الله
</w:t>
      </w:r>
    </w:p>
    <w:p>
      <w:pPr/>
      <w:r>
        <w:rPr/>
        <w:t xml:space="preserve">أبو عبيد الله جد حرب بن عبيد الله.</w:t>
      </w:r>
    </w:p>
    <w:p/>
    <w:p>
      <w:pPr/>
      <w:r>
        <w:rPr/>
        <w:t xml:space="preserve">قال أبو عمر: له صحبة ولا أحفظ له خبرا.</w:t>
      </w:r>
    </w:p>
    <w:p/>
    <w:p>
      <w:pPr/>
      <w:r>
        <w:rPr/>
        <w:t xml:space="preserve">قلت: أخرج أبو داود في «كتاب الخراج» من طريق عطاء بن السائب، عن حرب بن عبيد الله الثقفي، عن جده، قال: أتيت رسول الله صلى الله عليه وسلم فأسلمت، فعلمني الإسلام، وعلمني كيف آخذ الصدقة... الحديث. وذكر فيه اختلافا على عطاء بن السائب، ففي رواية عبد السلام بن حرب عنه عن حرب بن عبيد الله، عن جده، ولم يسمه من طريق أبي الأحوص، عن عطاء، عن حرب، عن جده أبي أمه، ومن طريق الثوري، عن عطاء عن حرب مرسلا.</w:t>
      </w:r>
    </w:p>
    <w:p/>
    <w:p>
      <w:pPr/>
      <w:r>
        <w:rPr/>
        <w:t xml:space="preserve">وفي رواية: عنه، عن عطاء، عن رجل من بكر بن وائل، عن خاله، قال: قلت يا رسول الله، أعشر قومي. وفيه اختلاف آخر. ويقال: إن اسم جده حرب بن عبيد الله.</w:t>
      </w:r>
    </w:p>
    <w:p>
      <w:pPr>
        <w:jc w:val="start"/>
        <w:bidi/>
      </w:pPr>
      <w:r>
        <w:rPr>
          <w:sz w:val="24"/>
          <w:szCs w:val="24"/>
          <w:b w:val="1"/>
          <w:bCs w:val="1"/>
          <w:rtl/>
        </w:rPr>
        <w:t xml:space="preserve">
الإصابة في تمييز الصحابة،(دار الكتب العلمية - بيروت،1995،ط 1،ج 7،ص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2026-09-22T04:07:03+03:00</dcterms:created>
  <dcterms:modified xsi:type="dcterms:W3CDTF">2026-09-22T04:07:03+03:00</dcterms:modified>
</cp:coreProperties>
</file>

<file path=docProps/custom.xml><?xml version="1.0" encoding="utf-8"?>
<Properties xmlns="http://schemas.openxmlformats.org/officeDocument/2006/custom-properties" xmlns:vt="http://schemas.openxmlformats.org/officeDocument/2006/docPropsVTypes"/>
</file>