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رفاعة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رفاعة
</w:t>
      </w:r>
    </w:p>
    <w:p>
      <w:pPr/>
      <w:r>
        <w:rPr/>
        <w:t xml:space="preserve">ابن رفاعة  زيد بن عبد الله بن مسعود بن رفاعة، أبو الخير الهاشمي: أحد مؤلفي (رسائل إخوان الصفا) كان في الرى، وأقام بالبصرة زمنا طويلا. واعتقد رأي الفلاسفة. أثنى عليه أبو حيان التوحيدي، ووصفه باتقاد الذهن والتبصر في كل فن. وقال الذهبي: أبو الخير: لاصبحه الله بخير ! له كتاب (أربعين حديثا) باطلة. وقال ابن حجر العسقلاني: معروف بوضع الحديث، على فلسفة فيه. وكان معاصرا للصاحب ابن عباد. وفي كتاب (الإمتاع والمؤانسة): زعم ابن رفاعة وأصحابه أنه متى انتظمت الفلسفة اليونانية والشريعة العربية فقد حصل الكمال. ومن كتبه (جوامع إصلاح المنطق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2026-09-25T04:45:32+03:00</dcterms:created>
  <dcterms:modified xsi:type="dcterms:W3CDTF">2026-09-25T04:45:32+03:00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