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الأشعري
</w:t>
      </w:r>
    </w:p>
    <w:p>
      <w:pPr>
        <w:jc w:val="start"/>
        <w:bidi/>
      </w:pPr>
      <w:r>
        <w:rPr>
          <w:rFonts w:ascii="arial" w:hAnsi="arial" w:eastAsia="arial" w:cs="arial"/>
          <w:sz w:val="28"/>
          <w:szCs w:val="28"/>
          <w:b w:val="1"/>
          <w:bCs w:val="1"/>
          <w:rtl/>
        </w:rPr>
        <w:t xml:space="preserve">أبو عبد الرحمن الأشعري
</w:t>
      </w:r>
    </w:p>
    <w:p>
      <w:pPr/>
      <w:r>
        <w:rPr/>
        <w:t xml:space="preserve">أبو عبد الرحمن الأشعري (د ع) أبو عبد الرحمن الأشعري- وقيل: الأشجعي.</w:t>
      </w:r>
    </w:p>
    <w:p/>
    <w:p>
      <w:pPr/>
      <w:r>
        <w:rPr/>
        <w:t xml:space="preserve">روى عن النبي صلى الله عليه وسلم: «الطهور شطر الإيمان» روى يحيى بن ميمون العبدي، عن يحيى بن أبي كثير، عن أبي سلام الأسود، عن أبي عبد الرحمن الأشعري.</w:t>
      </w:r>
    </w:p>
    <w:p/>
    <w:p>
      <w:pPr/>
      <w:r>
        <w:rPr/>
        <w:t xml:space="preserve">أخرجه ابن منده وأبو نعيم، وقال ابن منده: الصواب أبو مالك. رواه أبان بن يزيد، عن يحيى بن أبي كثير، فقال: عن أبي مالك الأشعري.</w:t>
      </w:r>
    </w:p>
    <w:p>
      <w:pPr>
        <w:jc w:val="start"/>
        <w:bidi/>
      </w:pPr>
      <w:r>
        <w:rPr>
          <w:sz w:val="24"/>
          <w:szCs w:val="24"/>
          <w:b w:val="1"/>
          <w:bCs w:val="1"/>
          <w:rtl/>
        </w:rPr>
        <w:t xml:space="preserve">
أسد الغابة في معرفة الصحابة،(دار ابن حزم - بيروت،2012،ط 1،ج 1،ص 1358)/(دار الكتب العلمية - بيروت،1994،ط 1،ج 6،ص 193)/(دار الفكر - بيروت،1989،ط 1،ج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الأشعري
</w:t>
      </w:r>
    </w:p>
    <w:p>
      <w:pPr/>
      <w:r>
        <w:rPr/>
        <w:t xml:space="preserve">أبو عبد الرحمن الأشعري وقيل الأشجعي.</w:t>
      </w:r>
    </w:p>
    <w:p/>
    <w:p>
      <w:pPr/>
      <w:r>
        <w:rPr/>
        <w:t xml:space="preserve">روى عن النبي صلى الله عليه وسلم: «الطهور شطر الإيمان».</w:t>
      </w:r>
    </w:p>
    <w:p/>
    <w:p>
      <w:pPr/>
      <w:r>
        <w:rPr/>
        <w:t xml:space="preserve">أخرجه ابن مندة، وأبو نعيم، وقال ابن مندة: الصواب عن أبي مالك الأشعري، كذا اختصره ابن الأثير، وقوله: وقيل الأشجعي ليس عند ابن مندة ولا أبي نعيم، وإنما ذكر ابن مندة أن يحيى بن ميمون روى عن يحيى بن أبي كثير، عن زيد بن سلام، عن أبي سلام، عن أبي عبد الرحمن الأشعري... فذكر الحديث، قال: ورواه أبان العطار عن يحيى، فقال: عن أبي مالك، وهو الصواب، وتبعه أبو نعيم.</w:t>
      </w:r>
    </w:p>
    <w:p/>
    <w:p>
      <w:pPr/>
      <w:r>
        <w:rPr/>
        <w:t xml:space="preserve">قلت: ورواية أبان التي صوبها ابن مندة أخرجها مسلم.</w:t>
      </w:r>
    </w:p>
    <w:p>
      <w:pPr>
        <w:jc w:val="start"/>
        <w:bidi/>
      </w:pPr>
      <w:r>
        <w:rPr>
          <w:sz w:val="24"/>
          <w:szCs w:val="24"/>
          <w:b w:val="1"/>
          <w:bCs w:val="1"/>
          <w:rtl/>
        </w:rPr>
        <w:t xml:space="preserve">
الإصابة في تمييز الصحابة،(دار الكتب العلمية - بيروت،1995،ط 1،ج 7،ص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2026-09-22T21:03:22+03:00</dcterms:created>
  <dcterms:modified xsi:type="dcterms:W3CDTF">2026-09-22T21:03:22+03:00</dcterms:modified>
</cp:coreProperties>
</file>

<file path=docProps/custom.xml><?xml version="1.0" encoding="utf-8"?>
<Properties xmlns="http://schemas.openxmlformats.org/officeDocument/2006/custom-properties" xmlns:vt="http://schemas.openxmlformats.org/officeDocument/2006/docPropsVTypes"/>
</file>