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روح الكلاعي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روح الكلاعي
</w:t>
      </w:r>
    </w:p>
    <w:p>
      <w:pPr/>
      <w:r>
        <w:rPr/>
        <w:t xml:space="preserve">أبو روح الكلاعي أبو روح الكلاعي. ذكره ابن قانع.</w:t>
      </w:r>
    </w:p>
    <w:p/>
    <w:p>
      <w:pPr/>
      <w:r>
        <w:rPr/>
        <w:t xml:space="preserve">أخبرنا عبد الوهاب بن أبي حبة بإسناده عن عبد الله بن أحمد: حدثني أبي، أخبرنا إسحاق بن يوسف، عن شريك، عن عبد الملك بن عمير، عن أبي روح الكلاعي قال: صلى بنا رسول الله صلى الله عليه وسلم صلاة، فقرأ فيها سورة الروم، فلبس بعضها، فقال: إنما لبس علي الشيطان القراءة من أجل أقوام أتوا الصلاة بغير وضوء، فأحسنوا الوضوء.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1321)/(دار الكتب العلمية - بيروت،1994،ط 1،ج 6،ص 108)/(دار الفكر - بيروت،1989،ط 1،ج 5،ص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2026-09-20T22:05:06+03:00</dcterms:created>
  <dcterms:modified xsi:type="dcterms:W3CDTF">2026-09-20T22:05:06+03:00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