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نصير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نصير
</w:t>
      </w:r>
    </w:p>
    <w:p>
      <w:pPr/>
      <w:r>
        <w:rPr/>
        <w:t xml:space="preserve">ابن نصير  أحمد بن إبراهيم بن نصير، أبو القاسم: شاعر، قال ابن الأبار: كان من رجالات الأندلس. أصله من شوذر (Jodar من أعمال جيان) وسكن قرطبة، وتوفي بمالقة.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نصير المغربي
</w:t>
      </w:r>
    </w:p>
    <w:p>
      <w:pPr/>
      <w:r>
        <w:rPr/>
        <w:t xml:space="preserve">ابن نصير المغربي أحمد بن إبراهيم بن نصير من أهل شوذر عمل جيان، سكن قرطبة وتوفي بمالقة رابع المحرم سنة اثنتين وست مائة، قال ابن الأبار: وكان من رجالات الأندلس، قال يخاطب الكتاب بمراكش وهو عامل إشبيلية: </w:t>
      </w:r>
    </w:p>
    <w:p/>
    <w:p>
      <w:pPr>
        <w:jc w:val="center"/>
      </w:pPr>
      <w:r>
        <w:rPr>
          <w:color w:val="ff0000"/>
        </w:rPr>
        <w:t xml:space="preserve">سلام على النادي الذي ما له ند</w:t>
      </w:r>
      <w:r>
        <w:rPr>
          <w:color w:val="ff0000"/>
        </w:rPr>
        <w:t xml:space="preserve">      </w:t>
      </w:r>
      <w:r>
        <w:rPr>
          <w:color w:val="ff0000"/>
        </w:rPr>
        <w:t xml:space="preserve">ومن نظم أشتات المعالي به عقد</w:t>
      </w:r>
    </w:p>
    <w:p/>
    <w:p>
      <w:pPr>
        <w:jc w:val="center"/>
      </w:pPr>
      <w:r>
        <w:rPr>
          <w:color w:val="ff0000"/>
        </w:rPr>
        <w:t xml:space="preserve">سجايا تمشي الحكم في جنباتها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وقام صقيلا دون حوزتها الحد</w:t>
      </w:r>
    </w:p>
    <w:p/>
    <w:p>
      <w:pPr>
        <w:jc w:val="center"/>
      </w:pPr>
      <w:r>
        <w:rPr>
          <w:color w:val="ff0000"/>
        </w:rPr>
        <w:t xml:space="preserve">إذا خطبوا أو خوطبوا حفظت لهم</w:t>
      </w:r>
      <w:r>
        <w:rPr>
          <w:color w:val="ff0000"/>
        </w:rPr>
        <w:t xml:space="preserve">      </w:t>
      </w:r>
      <w:r>
        <w:rPr>
          <w:color w:val="ff0000"/>
        </w:rPr>
        <w:t xml:space="preserve">بدائع عنها يصدر الحل والعقد</w:t>
      </w:r>
    </w:p>
    <w:p/>
    <w:p>
      <w:pPr>
        <w:jc w:val="center"/>
      </w:pPr>
      <w:r>
        <w:rPr>
          <w:color w:val="ff0000"/>
        </w:rPr>
        <w:t xml:space="preserve">وإن لبس الأمجاد بردا لزينة</w:t>
      </w:r>
      <w:r>
        <w:rPr>
          <w:color w:val="ff0000"/>
        </w:rPr>
        <w:t xml:space="preserve">      </w:t>
      </w:r>
      <w:r>
        <w:rPr>
          <w:color w:val="ff0000"/>
        </w:rPr>
        <w:t xml:space="preserve">فليس لهم من غير مكرمة برد</w:t>
      </w:r>
    </w:p>
    <w:p/>
    <w:p>
      <w:pPr>
        <w:jc w:val="center"/>
      </w:pPr>
      <w:r>
        <w:rPr>
          <w:color w:val="ff0000"/>
        </w:rPr>
        <w:t xml:space="preserve">حوت منهم دار الخلافة أنجما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هي النيرات الزهر أطلعها السعد</w:t>
      </w:r>
    </w:p>
    <w:p/>
    <w:p>
      <w:pPr>
        <w:jc w:val="center"/>
      </w:pPr>
      <w:r>
        <w:rPr>
          <w:color w:val="ff0000"/>
        </w:rPr>
        <w:t xml:space="preserve">يدل على عليائهم طيب ذكرهم</w:t>
      </w:r>
      <w:r>
        <w:rPr>
          <w:color w:val="ff0000"/>
        </w:rPr>
        <w:t xml:space="preserve">      </w:t>
      </w:r>
      <w:r>
        <w:rPr>
          <w:color w:val="ff0000"/>
        </w:rPr>
        <w:t xml:space="preserve">وطيب نسيم الورد ينبئني الورد</w:t>
      </w:r>
    </w:p>
    <w:p/>
    <w:p>
      <w:pPr>
        <w:jc w:val="center"/>
      </w:pPr>
      <w:r>
        <w:rPr>
          <w:color w:val="ff0000"/>
        </w:rPr>
        <w:t xml:space="preserve">ظفرت بعهد منهم أحرز المنى</w:t>
      </w:r>
      <w:r>
        <w:rPr>
          <w:color w:val="ff0000"/>
        </w:rPr>
        <w:t xml:space="preserve">      </w:t>
      </w:r>
      <w:r>
        <w:rPr>
          <w:color w:val="ff0000"/>
        </w:rPr>
        <w:t xml:space="preserve">فلا ذخر إلا فوقه ذلك العهد</w:t>
      </w:r>
    </w:p>
    <w:p/>
    <w:p>
      <w:pPr/>
      <w:r>
        <w:rPr/>
        <w:t xml:space="preserve">فراجعه عنهم الحكيم أبو بكر بن يحيى بن إبراهيم الأصبحي المعروف بالخدوج، وقال ابن نصير يرثي الخطيب أبا علي الحسن بن حجاج:</w:t>
      </w:r>
    </w:p>
    <w:p/>
    <w:p>
      <w:pPr>
        <w:jc w:val="center"/>
      </w:pPr>
      <w:r>
        <w:rPr>
          <w:color w:val="ff0000"/>
        </w:rPr>
        <w:t xml:space="preserve">نعى المكارم لما أن نعى ناع</w:t>
      </w:r>
      <w:r>
        <w:rPr>
          <w:color w:val="ff0000"/>
        </w:rPr>
        <w:t xml:space="preserve">      </w:t>
      </w:r>
      <w:r>
        <w:rPr>
          <w:color w:val="ff0000"/>
        </w:rPr>
        <w:t xml:space="preserve">من كان جامعها طرا بإجماع</w:t>
      </w:r>
    </w:p>
    <w:p/>
    <w:p>
      <w:pPr>
        <w:jc w:val="center"/>
      </w:pPr>
      <w:r>
        <w:rPr>
          <w:color w:val="ff0000"/>
        </w:rPr>
        <w:t xml:space="preserve">مضى وخلد عمرا لا نفاد له</w:t>
      </w:r>
      <w:r>
        <w:rPr>
          <w:color w:val="ff0000"/>
        </w:rPr>
        <w:t xml:space="preserve">      </w:t>
      </w:r>
      <w:r>
        <w:rPr>
          <w:color w:val="ff0000"/>
        </w:rPr>
        <w:t xml:space="preserve">من نشر ذكر ذكي العرف ضواع</w:t>
      </w:r>
    </w:p>
    <w:p/>
    <w:p>
      <w:pPr>
        <w:jc w:val="center"/>
      </w:pPr>
      <w:r>
        <w:rPr>
          <w:color w:val="ff0000"/>
        </w:rPr>
        <w:t xml:space="preserve">إذا تنازعه النادي وردده</w:t>
      </w:r>
      <w:r>
        <w:rPr>
          <w:color w:val="ff0000"/>
        </w:rPr>
        <w:t xml:space="preserve">      </w:t>
      </w:r>
      <w:r>
        <w:rPr>
          <w:color w:val="ff0000"/>
        </w:rPr>
        <w:t xml:space="preserve">أتت رواياته منه بأنواع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6،ص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نصير المغربي
</w:t>
      </w:r>
    </w:p>
    <w:p>
      <w:pPr/>
      <w:r>
        <w:rPr/>
        <w:t xml:space="preserve">ابن نصير المغربي أحمد بن إبراهيم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27،ص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نصير
</w:t>
      </w:r>
    </w:p>
    <w:p>
      <w:pPr/>
      <w:r>
        <w:rPr/>
        <w:t xml:space="preserve">ابن نصير </w:t>
      </w:r>
    </w:p>
    <w:p/>
    <w:p>
      <w:pPr/>
      <w:r>
        <w:rPr/>
        <w:t xml:space="preserve">أبو القاسم أحمد بن إبراهيم بن أحمد بن نُصَير من أهل شَوْذَر عمل جيّان، وسكن قُرْطُبَة وتوفي بمالقة رابع المحرم سنة اثنتين وستمائة، وكان من رجالات الأندلس.</w:t>
      </w:r>
    </w:p>
    <w:p/>
    <w:p>
      <w:pPr/>
      <w:r>
        <w:rPr/>
        <w:t xml:space="preserve">قال يخاطب الكتَّاب بمراكش وهو عامل إشبيلية:</w:t>
      </w:r>
    </w:p>
    <w:p/>
    <w:p>
      <w:pPr>
        <w:jc w:val="center"/>
      </w:pPr>
      <w:r>
        <w:rPr>
          <w:color w:val="ff0000"/>
        </w:rPr>
        <w:t xml:space="preserve">سلامٌ على النَّادي الَّذي ما له نِدٌّ</w:t>
      </w:r>
      <w:r>
        <w:rPr>
          <w:color w:val="ff0000"/>
        </w:rPr>
        <w:t xml:space="preserve">      </w:t>
      </w:r>
      <w:r>
        <w:rPr>
          <w:color w:val="ff0000"/>
        </w:rPr>
        <w:t xml:space="preserve">ومن نَظْم أشتاتِ المعالي به عقدُ</w:t>
      </w:r>
    </w:p>
    <w:p/>
    <w:p>
      <w:pPr>
        <w:jc w:val="center"/>
      </w:pPr>
      <w:r>
        <w:rPr>
          <w:color w:val="ff0000"/>
        </w:rPr>
        <w:t xml:space="preserve">سَجايا تمشَّى الحكمُ في جنباتها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وقامَ صقيلاً دون حوزتها الحدُّ</w:t>
      </w:r>
    </w:p>
    <w:p/>
    <w:p>
      <w:pPr>
        <w:jc w:val="center"/>
      </w:pPr>
      <w:r>
        <w:rPr>
          <w:color w:val="ff0000"/>
        </w:rPr>
        <w:t xml:space="preserve">إذا خطبوا أو خوطبوا حُفظتْ لهم</w:t>
      </w:r>
      <w:r>
        <w:rPr>
          <w:color w:val="ff0000"/>
        </w:rPr>
        <w:t xml:space="preserve">      </w:t>
      </w:r>
      <w:r>
        <w:rPr>
          <w:color w:val="ff0000"/>
        </w:rPr>
        <w:t xml:space="preserve">بدائعُ عنها يصدر الحلُّ والعَقدُ</w:t>
      </w:r>
    </w:p>
    <w:p/>
    <w:p>
      <w:pPr>
        <w:jc w:val="center"/>
      </w:pPr>
      <w:r>
        <w:rPr>
          <w:color w:val="ff0000"/>
        </w:rPr>
        <w:t xml:space="preserve">وإن لُبس الأمجادُ بُرداً لزينةٍ</w:t>
      </w:r>
      <w:r>
        <w:rPr>
          <w:color w:val="ff0000"/>
        </w:rPr>
        <w:t xml:space="preserve">      </w:t>
      </w:r>
      <w:r>
        <w:rPr>
          <w:color w:val="ff0000"/>
        </w:rPr>
        <w:t xml:space="preserve">فليس لهم من غير مكرمةٍ بُردُ</w:t>
      </w:r>
    </w:p>
    <w:p/>
    <w:p>
      <w:pPr>
        <w:jc w:val="center"/>
      </w:pPr>
      <w:r>
        <w:rPr>
          <w:color w:val="ff0000"/>
        </w:rPr>
        <w:t xml:space="preserve">حَوَتْ منهمُ دارُ الخلافةِ أنجُماً</w:t>
      </w:r>
      <w:r>
        <w:rPr>
          <w:color w:val="ff0000"/>
        </w:rPr>
        <w:t xml:space="preserve">      </w:t>
      </w:r>
      <w:r>
        <w:rPr>
          <w:color w:val="ff0000"/>
        </w:rPr>
        <w:t xml:space="preserve">هي النيّرات الزُّهر أطلعها السعدُ</w:t>
      </w:r>
    </w:p>
    <w:p/>
    <w:p>
      <w:pPr>
        <w:jc w:val="center"/>
      </w:pPr>
      <w:r>
        <w:rPr>
          <w:color w:val="ff0000"/>
        </w:rPr>
        <w:t xml:space="preserve">يدلّ على عليائهم طيبُ ذكرِهم</w:t>
      </w:r>
      <w:r>
        <w:rPr>
          <w:color w:val="ff0000"/>
        </w:rPr>
        <w:t xml:space="preserve">      </w:t>
      </w:r>
      <w:r>
        <w:rPr>
          <w:color w:val="ff0000"/>
        </w:rPr>
        <w:t xml:space="preserve">وطيبَ نسيم الوردِ يُنبئني الوردُ</w:t>
      </w:r>
    </w:p>
    <w:p/>
    <w:p>
      <w:pPr>
        <w:jc w:val="center"/>
      </w:pPr>
      <w:r>
        <w:rPr>
          <w:color w:val="ff0000"/>
        </w:rPr>
        <w:t xml:space="preserve">ظفرتُ بعهدٍ منهمُ أحرز المُنى</w:t>
      </w:r>
      <w:r>
        <w:rPr>
          <w:color w:val="ff0000"/>
        </w:rPr>
        <w:t xml:space="preserve">      </w:t>
      </w:r>
      <w:r>
        <w:rPr>
          <w:color w:val="ff0000"/>
        </w:rPr>
        <w:t xml:space="preserve">فلا ذُخْرَ إلاَّ فوقه ذلك العهدُ</w:t>
      </w:r>
    </w:p>
    <w:p/>
    <w:p>
      <w:pPr/>
      <w:r>
        <w:rPr/>
        <w:t xml:space="preserve">فراجعه عنهم الحكيم أبو بكر بن يحيى بن إبراهيم الأصبحي المعروف بالخدوج.</w:t>
      </w:r>
    </w:p>
    <w:p/>
    <w:p>
      <w:pPr/>
      <w:r>
        <w:rPr/>
        <w:t xml:space="preserve">وقال ابن نصير يرثي الخطيب أبا علي الحسن بن حجاج:</w:t>
      </w:r>
    </w:p>
    <w:p/>
    <w:p>
      <w:pPr>
        <w:jc w:val="center"/>
      </w:pPr>
      <w:r>
        <w:rPr>
          <w:color w:val="ff0000"/>
        </w:rPr>
        <w:t xml:space="preserve">نعى المكارمَ لمَّا أن نعى ناعِ</w:t>
      </w:r>
      <w:r>
        <w:rPr>
          <w:color w:val="ff0000"/>
        </w:rPr>
        <w:t xml:space="preserve">      </w:t>
      </w:r>
      <w:r>
        <w:rPr>
          <w:color w:val="ff0000"/>
        </w:rPr>
        <w:t xml:space="preserve">مَن كانَ جامِعَها طرّاً بإجماعِ</w:t>
      </w:r>
    </w:p>
    <w:p/>
    <w:p>
      <w:pPr>
        <w:jc w:val="center"/>
      </w:pPr>
      <w:r>
        <w:rPr>
          <w:color w:val="ff0000"/>
        </w:rPr>
        <w:t xml:space="preserve">مضَى وخلّد عمراً لا نفاذَ له</w:t>
      </w:r>
      <w:r>
        <w:rPr>
          <w:color w:val="ff0000"/>
        </w:rPr>
        <w:t xml:space="preserve">      </w:t>
      </w:r>
      <w:r>
        <w:rPr>
          <w:color w:val="ff0000"/>
        </w:rPr>
        <w:t xml:space="preserve">من نشر ذِكْرٍ ذكيِّ العَرْفِ ضوَّاعِ</w:t>
      </w:r>
    </w:p>
    <w:p/>
    <w:p>
      <w:pPr>
        <w:jc w:val="center"/>
      </w:pPr>
      <w:r>
        <w:rPr>
          <w:color w:val="ff0000"/>
        </w:rPr>
        <w:t xml:space="preserve">إذا تنازَعَهُ النَّادي وردَّدَهُ</w:t>
      </w:r>
      <w:r>
        <w:rPr>
          <w:color w:val="ff0000"/>
        </w:rPr>
        <w:t xml:space="preserve">      </w:t>
      </w:r>
      <w:r>
        <w:rPr>
          <w:color w:val="ff0000"/>
        </w:rPr>
        <w:t xml:space="preserve">أتتْ رواياتُهُ منه بأنواعِ</w:t>
      </w:r>
    </w:p>
    <w:p/>
    <w:p>
      <w:pPr/>
      <w:r>
        <w:rPr/>
        <w:t xml:space="preserve">وله:</w:t>
      </w:r>
    </w:p>
    <w:p/>
    <w:p>
      <w:pPr>
        <w:jc w:val="center"/>
      </w:pPr>
      <w:r>
        <w:rPr>
          <w:color w:val="ff0000"/>
        </w:rPr>
        <w:t xml:space="preserve">أيا هَضْبَتَيْ مجدٍ ويا كَوكَبَيْ سعدِ</w:t>
      </w:r>
      <w:r>
        <w:rPr>
          <w:color w:val="ff0000"/>
        </w:rPr>
        <w:t xml:space="preserve">      </w:t>
      </w:r>
      <w:r>
        <w:rPr>
          <w:color w:val="ff0000"/>
        </w:rPr>
        <w:t xml:space="preserve">ويا رافدَيْ رفدٍ ويا صارمَيْ حدِّ</w:t>
      </w:r>
    </w:p>
    <w:p/>
    <w:p>
      <w:pPr>
        <w:jc w:val="center"/>
      </w:pPr>
      <w:r>
        <w:rPr>
          <w:color w:val="ff0000"/>
        </w:rPr>
        <w:t xml:space="preserve">غياثاً فقد أودى الحطيمُ ومُكِّنتْ</w:t>
      </w:r>
      <w:r>
        <w:rPr>
          <w:color w:val="ff0000"/>
        </w:rPr>
        <w:t xml:space="preserve">      </w:t>
      </w:r>
      <w:r>
        <w:rPr>
          <w:color w:val="ff0000"/>
        </w:rPr>
        <w:t xml:space="preserve">من الدَّهرِ في حَوْبائِهِ يدُ ذي حقدِ</w:t>
      </w:r>
    </w:p>
    <w:p/>
    <w:p>
      <w:pPr>
        <w:jc w:val="center"/>
      </w:pPr>
      <w:r>
        <w:rPr>
          <w:color w:val="ff0000"/>
        </w:rPr>
        <w:t xml:space="preserve">وكيف وأنَّى وهو يُسندُ منكما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إلى منعةٍ تُرْبي على الأبلق الفردِ</w:t>
      </w:r>
    </w:p>
    <w:p/>
    <w:p>
      <w:pPr>
        <w:jc w:val="center"/>
      </w:pPr>
      <w:r>
        <w:rPr>
          <w:color w:val="ff0000"/>
        </w:rPr>
        <w:t xml:space="preserve">فإن يدعُ يا عثمانُ أفرخَ روعُهُ</w:t>
      </w:r>
      <w:r>
        <w:rPr>
          <w:color w:val="ff0000"/>
        </w:rPr>
        <w:t xml:space="preserve">      </w:t>
      </w:r>
      <w:r>
        <w:rPr>
          <w:color w:val="ff0000"/>
        </w:rPr>
        <w:t xml:space="preserve">وإن يدعُ عبد الحقِّ أيقنَ بالعضدِ</w:t>
      </w:r>
    </w:p>
    <w:p/>
    <w:p>
      <w:pPr>
        <w:jc w:val="center"/>
      </w:pPr>
      <w:r>
        <w:rPr>
          <w:color w:val="ff0000"/>
        </w:rPr>
        <w:t xml:space="preserve">ينام رضيَّ البالِ ملءَ جفونه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ولو بات ما بين الأساوِد والأُسدِ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تحفة القادم،(دار الغرب الإسلامي - تونس،1986،ط 1،ج 1،ص 126)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2026-09-16T11:29:18+03:00</dcterms:created>
  <dcterms:modified xsi:type="dcterms:W3CDTF">2026-09-16T11:29:18+03:00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