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بشر السلمي
</w:t>
      </w:r>
    </w:p>
    <w:p>
      <w:pPr>
        <w:jc w:val="start"/>
        <w:bidi/>
      </w:pPr>
      <w:r>
        <w:rPr>
          <w:rFonts w:ascii="arial" w:hAnsi="arial" w:eastAsia="arial" w:cs="arial"/>
          <w:sz w:val="28"/>
          <w:szCs w:val="28"/>
          <w:b w:val="1"/>
          <w:bCs w:val="1"/>
          <w:rtl/>
        </w:rPr>
        <w:t xml:space="preserve">أبو بشر السلمي
</w:t>
      </w:r>
    </w:p>
    <w:p>
      <w:pPr/>
      <w:r>
        <w:rPr/>
        <w:t xml:space="preserve">أبو بشر السلمي (س) أبو بشر السلمي.</w:t>
      </w:r>
    </w:p>
    <w:p/>
    <w:p>
      <w:pPr/>
      <w:r>
        <w:rPr/>
        <w:t xml:space="preserve">أورده أبو بكر بن أبي علي، وأبو مسعود.</w:t>
      </w:r>
    </w:p>
    <w:p/>
    <w:p>
      <w:pPr/>
      <w:r>
        <w:rPr/>
        <w:t xml:space="preserve">روى هشام بن سعد، عن زيد بن أسلم، عن أبي بشر السلمي قال: قال رسول الله صلى الله عليه وسلم «من أحب أن يفرج الله كربته، ويعطيه سؤله، فلينظر معسرا أو ليدع». كذا قال ولعله أبو اليسر الأنصاري السلمي، بفتح السين واللام، لأن هذا المتن مشهور عنه،.</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1287)/(دار الكتب العلمية - بيروت،1994،ط 1،ج 6،ص 30)/(دار الفكر - بيروت،1989،ط 1،ج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بشر السلمي
</w:t>
      </w:r>
    </w:p>
    <w:p>
      <w:pPr/>
      <w:r>
        <w:rPr/>
        <w:t xml:space="preserve">أبو بشر السلمي استدركه أبو موسى في «الذيل». وقال: ذكره أبو بكر بن علي وغيره في الصحابة</w:t>
      </w:r>
    </w:p>
    <w:p/>
    <w:p>
      <w:pPr/>
      <w:r>
        <w:rPr/>
        <w:t xml:space="preserve">وأخرجوا من طريق هشام بن سعد، عن زيد بن أسلم، عن أبي بشر السلمي، وكان من أصحاب النبي صلى الله عليه وسلم؛ قال: قال رسول الله صلى الله عليه وسلم: «من أحب أن يفرج الله كربته ويعطيه سؤله فلينظر معسرا أو ليذر له».</w:t>
      </w:r>
    </w:p>
    <w:p/>
    <w:p>
      <w:pPr/>
      <w:r>
        <w:rPr/>
        <w:t xml:space="preserve">قال أبو موسى: لعله أبو اليسر، بفتح التحتانية والمهملة، واسمه كعب بن عمرو؛ لأن هذا المتن مشهور عنه.</w:t>
      </w:r>
    </w:p>
    <w:p/>
    <w:p>
      <w:pPr/>
      <w:r>
        <w:rPr/>
        <w:t xml:space="preserve">قلت: لكن مخرج الحديثين مختلف، وإذا تعددت المخارج كان قرينة على تعدد الراوي، بخلاف ما إذا اتحدت. ولا مانع أن يروى الحكم عن صحابين، وقرينة اختلاف السياقين أيضا ترشد إلى التعدد. والله أعلم.</w:t>
      </w:r>
    </w:p>
    <w:p>
      <w:pPr>
        <w:jc w:val="start"/>
        <w:bidi/>
      </w:pPr>
      <w:r>
        <w:rPr>
          <w:sz w:val="24"/>
          <w:szCs w:val="24"/>
          <w:b w:val="1"/>
          <w:bCs w:val="1"/>
          <w:rtl/>
        </w:rPr>
        <w:t xml:space="preserve">
الإصابة في تمييز الصحابة،(دار الكتب العلمية - بيروت،1995،ط 1،ج 7،ص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2026-09-21T20:16:54+03:00</dcterms:created>
  <dcterms:modified xsi:type="dcterms:W3CDTF">2026-09-21T20:16:54+03:00</dcterms:modified>
</cp:coreProperties>
</file>

<file path=docProps/custom.xml><?xml version="1.0" encoding="utf-8"?>
<Properties xmlns="http://schemas.openxmlformats.org/officeDocument/2006/custom-properties" xmlns:vt="http://schemas.openxmlformats.org/officeDocument/2006/docPropsVTypes"/>
</file>