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أبو البشر بن الحارث، من بني عبد الدار، هو الشاب الذي خطب سبيعة الأسلمية، فحطت إليه. قاله أبو عبد الله بن وضاح.</w:t>
      </w:r>
    </w:p>
    <w:p/>
    <w:p>
      <w:pPr/>
      <w:r>
        <w:rPr/>
        <w:t xml:space="preserve">رواه ابن الدباغ، عن أبي محمد بن عتاب.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بفتحتين، ابن الحارث العبدري، من بني عبد الدار.</w:t>
      </w:r>
    </w:p>
    <w:p/>
    <w:p>
      <w:pPr/>
      <w:r>
        <w:rPr/>
        <w:t xml:space="preserve">قال محمد بن وضاح: هو الشاب الذي خطب سبيعة الأسلمية لما وضعت حملها فخطبت إليه فدخل عليها أبو السنابل؛ فقال: لست بناكح حتى تمضي أربعة أشهر وعشرا.</w:t>
      </w:r>
    </w:p>
    <w:p/>
    <w:p>
      <w:pPr/>
      <w:r>
        <w:rPr/>
        <w:t xml:space="preserve">واستدركه ابن الدباغ وابن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2026-09-21T14:09:18+03:00</dcterms:created>
  <dcterms:modified xsi:type="dcterms:W3CDTF">2026-09-21T14:09:18+03:00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