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يعلى
</w:t>
      </w:r>
    </w:p>
    <w:p>
      <w:pPr>
        <w:jc w:val="start"/>
        <w:bidi/>
      </w:pPr>
      <w:r>
        <w:rPr>
          <w:rFonts w:ascii="arial" w:hAnsi="arial" w:eastAsia="arial" w:cs="arial"/>
          <w:sz w:val="28"/>
          <w:szCs w:val="28"/>
          <w:b w:val="1"/>
          <w:bCs w:val="1"/>
          <w:rtl/>
        </w:rPr>
        <w:t xml:space="preserve">يعلى
</w:t>
      </w:r>
    </w:p>
    <w:p>
      <w:pPr/>
      <w:r>
        <w:rPr/>
        <w:t xml:space="preserve">يعلى يعلى ذكره ابن قانع، وروى بإسناده عن الوليد بن مسلم، عن سفيان، عن عمرو بن يعلى، عن أبيه قال: أتيت رسول الله صلى الله عليه وسلم وفي يدي خاتم من ذهب، فقال: أتؤدي زكاة هذا؟ قال: فيه زكاة يا رسول الله؟ قال: جمرة غليظة. ذكره ابن الدباغ.</w:t>
      </w:r>
    </w:p>
    <w:p>
      <w:pPr>
        <w:jc w:val="start"/>
        <w:bidi/>
      </w:pPr>
      <w:r>
        <w:rPr>
          <w:sz w:val="24"/>
          <w:szCs w:val="24"/>
          <w:b w:val="1"/>
          <w:bCs w:val="1"/>
          <w:rtl/>
        </w:rPr>
        <w:t xml:space="preserve">
أسد الغابة في معرفة الصحابة،(دار ابن حزم - بيروت،2012،ط 1،ج 1،ص 1274)/(دار الكتب العلمية - بيروت،1994،ط 1،ج 5،ص 489)/(دار الفكر - بيروت،1989،ط 1،ج 4،ص 750)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w:t>
      </w:r>
    </w:p>
    <w:p>
      <w:pPr/>
      <w:r>
        <w:rPr/>
        <w:t xml:space="preserve">يعلى غير منسوب.</w:t>
      </w:r>
    </w:p>
    <w:p/>
    <w:p>
      <w:pPr/>
      <w:r>
        <w:rPr/>
        <w:t xml:space="preserve">ذكره ابن قانع، وأخرجه من طريق الوليد بن مسلم، عن سفيان، عن عمرو بن يعلى، عن أبيه، قال: أتيت النبي صلى الله عليه وآله وسلم وفي يدي خاتم من ذهب، فقال: «أتؤدي زكاة هذا؟» قلت: أفيه زكاة يا رسول الله؟ قال: «جمرة غليظة».</w:t>
      </w:r>
    </w:p>
    <w:p/>
    <w:p>
      <w:pPr/>
      <w:r>
        <w:rPr/>
        <w:t xml:space="preserve">قلت: يعلى هذا هو ابن مرة كما جزم به الطبراني لما أخرج هذا الحديث، والصواب أن الراوي عنه عمر، بضم العين، وهو منسوب لجده، فإنه عمر بن عبد الله ابن يعلى بن مرة، مشهور له أحاديث عن أبيه عن جده. وقد تقدم بعض الكلام على هذا المتن في رباح الثقفي في حرف الراء.</w:t>
      </w:r>
    </w:p>
    <w:p>
      <w:pPr>
        <w:jc w:val="start"/>
        <w:bidi/>
      </w:pPr>
      <w:r>
        <w:rPr>
          <w:sz w:val="24"/>
          <w:szCs w:val="24"/>
          <w:b w:val="1"/>
          <w:bCs w:val="1"/>
          <w:rtl/>
        </w:rPr>
        <w:t xml:space="preserve">
الإصابة في تمييز الصحابة،(دار الكتب العلمية - بيروت،1995،ط 1،ج 6،ص 568)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2026-09-21T14:59:52+03:00</dcterms:created>
  <dcterms:modified xsi:type="dcterms:W3CDTF">2026-09-21T14:59:52+03:00</dcterms:modified>
</cp:coreProperties>
</file>

<file path=docProps/custom.xml><?xml version="1.0" encoding="utf-8"?>
<Properties xmlns="http://schemas.openxmlformats.org/officeDocument/2006/custom-properties" xmlns:vt="http://schemas.openxmlformats.org/officeDocument/2006/docPropsVTypes"/>
</file>