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الحنظلية
</w:t>
      </w:r>
    </w:p>
    <w:p>
      <w:pPr>
        <w:jc w:val="start"/>
        <w:bidi/>
      </w:pPr>
      <w:r>
        <w:rPr>
          <w:rFonts w:ascii="arial" w:hAnsi="arial" w:eastAsia="arial" w:cs="arial"/>
          <w:sz w:val="28"/>
          <w:szCs w:val="28"/>
          <w:b w:val="1"/>
          <w:bCs w:val="1"/>
          <w:rtl/>
        </w:rPr>
        <w:t xml:space="preserve">يحيى بن الحنظلية
</w:t>
      </w:r>
    </w:p>
    <w:p>
      <w:pPr/>
      <w:r>
        <w:rPr/>
        <w:t xml:space="preserve">يحيى بن الحنظلية (د ع) يحيى بن الحنظلية.</w:t>
      </w:r>
    </w:p>
    <w:p/>
    <w:p>
      <w:pPr/>
      <w:r>
        <w:rPr/>
        <w:t xml:space="preserve">هو ممن بايع النبي صلى الله عليه وسلم بيعة الرضوان تحت الشجرة.</w:t>
      </w:r>
    </w:p>
    <w:p/>
    <w:p>
      <w:pPr/>
      <w:r>
        <w:rPr/>
        <w:t xml:space="preserve">روى يزيد بن أبي مريم الأنصاري، عن أبيه، عن يحيى بن الحنظلية- وكان ممن بايع تحت الشجرة، وكان عقيما لا يولد له- فقال: والذي نفسي بيده لأن يولد لي ولد في الإسلام واحتسبه أحب إلي من الدنيا بما فيها.</w:t>
      </w:r>
    </w:p>
    <w:p/>
    <w:p>
      <w:pPr/>
      <w:r>
        <w:rPr/>
        <w:t xml:space="preserve">أخرجه ابن مندة وأبو نعيم.</w:t>
      </w:r>
    </w:p>
    <w:p>
      <w:pPr>
        <w:jc w:val="start"/>
        <w:bidi/>
      </w:pPr>
      <w:r>
        <w:rPr>
          <w:sz w:val="24"/>
          <w:szCs w:val="24"/>
          <w:b w:val="1"/>
          <w:bCs w:val="1"/>
          <w:rtl/>
        </w:rPr>
        <w:t xml:space="preserve">
أسد الغابة في معرفة الصحابة،(دار ابن حزم - بيروت،2012،ط 1،ج 1،ص 1251)/(دار الكتب العلمية - بيروت،1994،ط 1،ج 5،ص 436)/(دار الفكر - بيروت،1989،ط 1،ج 4،ص 694)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الحنظلية
</w:t>
      </w:r>
    </w:p>
    <w:p>
      <w:pPr/>
      <w:r>
        <w:rPr/>
        <w:t xml:space="preserve">يحيى بن الحنظلية قال ابن مندة: له ذكر في المغازي. وذكره البغوي في الصحابة، وأورد له من طريق يزيد بن أبي مريم، عن أبيه، عن يحيى ابن الحنظلية، وكان ممن بايع رسول الله صلى الله عليه وسلم بيعة الرضوان تحت الشجرة، وكان عقيما لا يولد له، فقال: والذي نفسي بيده لأن يولد في الإسلام فأحتسبه أحب إلي من الدنيا وما فيها. وسنده ضعيف.</w:t>
      </w:r>
    </w:p>
    <w:p>
      <w:pPr>
        <w:jc w:val="start"/>
        <w:bidi/>
      </w:pPr>
      <w:r>
        <w:rPr>
          <w:sz w:val="24"/>
          <w:szCs w:val="24"/>
          <w:b w:val="1"/>
          <w:bCs w:val="1"/>
          <w:rtl/>
        </w:rPr>
        <w:t xml:space="preserve">
الإصابة في تمييز الصحابة،(دار الكتب العلمية - بيروت،1995،ط 1،ج 6،ص 504)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2026-09-23T06:02:06+03:00</dcterms:created>
  <dcterms:modified xsi:type="dcterms:W3CDTF">2026-09-23T06:02:06+03:00</dcterms:modified>
</cp:coreProperties>
</file>

<file path=docProps/custom.xml><?xml version="1.0" encoding="utf-8"?>
<Properties xmlns="http://schemas.openxmlformats.org/officeDocument/2006/custom-properties" xmlns:vt="http://schemas.openxmlformats.org/officeDocument/2006/docPropsVTypes"/>
</file>