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نعيم بن مقرن
</w:t>
      </w:r>
    </w:p>
    <w:p>
      <w:pPr>
        <w:jc w:val="start"/>
        <w:bidi/>
      </w:pPr>
      <w:r>
        <w:rPr>
          <w:rFonts w:ascii="arial" w:hAnsi="arial" w:eastAsia="arial" w:cs="arial"/>
          <w:sz w:val="28"/>
          <w:szCs w:val="28"/>
          <w:b w:val="1"/>
          <w:bCs w:val="1"/>
          <w:rtl/>
        </w:rPr>
        <w:t xml:space="preserve">نعيم بن مقرن
</w:t>
      </w:r>
    </w:p>
    <w:p>
      <w:pPr/>
      <w:r>
        <w:rPr/>
        <w:t xml:space="preserve">نعيم بن مقرن (ب) نعيم بن مقرن، أخو النعمان بن مقرن المزني.</w:t>
      </w:r>
    </w:p>
    <w:p/>
    <w:p>
      <w:pPr/>
      <w:r>
        <w:rPr/>
        <w:t xml:space="preserve">خلف أخاه النعمان بن مقرن لما قتل بنهاوند، وأخذ الراية فدفعها إلى حذيفة بن اليمان، وكانت على يد نعيم فتوح بفارس. ونعيم وإخوته من جلة الصحابة، ومن وجوه مزينة، وكان عمر بن الخطاب يعرف لنعمان ونعيم فضلهما.</w:t>
      </w:r>
    </w:p>
    <w:p/>
    <w:p>
      <w:pPr/>
      <w:r>
        <w:rPr/>
        <w:t xml:space="preserve">أخرجه أبو عمر مختصرا.</w:t>
      </w:r>
    </w:p>
    <w:p>
      <w:pPr>
        <w:jc w:val="start"/>
        <w:bidi/>
      </w:pPr>
      <w:r>
        <w:rPr>
          <w:sz w:val="24"/>
          <w:szCs w:val="24"/>
          <w:b w:val="1"/>
          <w:bCs w:val="1"/>
          <w:rtl/>
        </w:rPr>
        <w:t xml:space="preserve">
أسد الغابة في معرفة الصحابة،(دار ابن حزم - بيروت،2012،ط 1،ج 1،ص 1201)/(دار الكتب العلمية - بيروت،1994،ط 1،ج 5،ص 329)/(دار الفكر - بيروت،1989،ط 1،ج 4،ص 572)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نعيم بن مقرن المزني
</w:t>
      </w:r>
    </w:p>
    <w:p>
      <w:pPr/>
      <w:r>
        <w:rPr/>
        <w:t xml:space="preserve">نعيم بن مقرن المزني أخو النعمان.</w:t>
      </w:r>
    </w:p>
    <w:p/>
    <w:p>
      <w:pPr/>
      <w:r>
        <w:rPr/>
        <w:t xml:space="preserve">قال أبو عمر: هو وإخوته من جلة الصحابة، وهو الذي خلف أخاه لما استشهد بنهاوند، وأخذ الراية، فدفعها إلى حذيفة، ثم كانت فتوح فارس على يده.</w:t>
      </w:r>
    </w:p>
    <w:p>
      <w:pPr>
        <w:jc w:val="start"/>
        <w:bidi/>
      </w:pPr>
      <w:r>
        <w:rPr>
          <w:sz w:val="24"/>
          <w:szCs w:val="24"/>
          <w:b w:val="1"/>
          <w:bCs w:val="1"/>
          <w:rtl/>
        </w:rPr>
        <w:t xml:space="preserve">
الإصابة في تمييز الصحابة،(دار الكتب العلمية - بيروت،1995،ط 1،ج 6،ص 364)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نعيم بن مقرن
</w:t>
      </w:r>
    </w:p>
    <w:p>
      <w:pPr/>
      <w:r>
        <w:rPr/>
        <w:t xml:space="preserve">نعيم بن مقرن  أخو النعمان بن مقرن، خلف أخاه النعمان حين قتل بنهاوند، وكانت على يديه فتوح كثيرة، وهو وأخوه من جلة الصحابة، وكانوا من وجوه مزينة، وكان عمر بن الخطاب يعرف لنعيم والنعمان موضعهما.</w:t>
      </w:r>
    </w:p>
    <w:p>
      <w:pPr>
        <w:jc w:val="start"/>
        <w:bidi/>
      </w:pPr>
      <w:r>
        <w:rPr>
          <w:sz w:val="24"/>
          <w:szCs w:val="24"/>
          <w:b w:val="1"/>
          <w:bCs w:val="1"/>
          <w:rtl/>
        </w:rPr>
        <w:t xml:space="preserve">
الاستيعاب في معرفة الأصحاب،(دار الجيل - بيروت،1992،ط 1،ج 4،ص 1509)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2026-09-22T03:15:32+03:00</dcterms:created>
  <dcterms:modified xsi:type="dcterms:W3CDTF">2026-09-22T03:15:32+03:00</dcterms:modified>
</cp:coreProperties>
</file>

<file path=docProps/custom.xml><?xml version="1.0" encoding="utf-8"?>
<Properties xmlns="http://schemas.openxmlformats.org/officeDocument/2006/custom-properties" xmlns:vt="http://schemas.openxmlformats.org/officeDocument/2006/docPropsVTypes"/>
</file>