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بن عثمان
</w:t>
      </w:r>
    </w:p>
    <w:p>
      <w:pPr>
        <w:jc w:val="start"/>
        <w:bidi/>
      </w:pPr>
      <w:r>
        <w:rPr>
          <w:rFonts w:ascii="arial" w:hAnsi="arial" w:eastAsia="arial" w:cs="arial"/>
          <w:sz w:val="28"/>
          <w:szCs w:val="28"/>
          <w:b w:val="1"/>
          <w:bCs w:val="1"/>
          <w:rtl/>
        </w:rPr>
        <w:t xml:space="preserve">نبيه بن عثمان
</w:t>
      </w:r>
    </w:p>
    <w:p>
      <w:pPr/>
      <w:r>
        <w:rPr/>
        <w:t xml:space="preserve">نبيه بن عثمان (ب) نبيه بن عثمان بن ربيعة بن وهب بن حذافة بن جمح القرشي الجمحي.</w:t>
      </w:r>
    </w:p>
    <w:p/>
    <w:p>
      <w:pPr/>
      <w:r>
        <w:rPr/>
        <w:t xml:space="preserve">كان قديم الإسلام بمكة، وهاجر إلى أرض الحبشة الهجرة الثانية، قاله الواقدي.</w:t>
      </w:r>
    </w:p>
    <w:p/>
    <w:p>
      <w:pPr/>
      <w:r>
        <w:rPr/>
        <w:t xml:space="preserve">وقال ابن إسحاق: الذي هاجر إلى أرض الحبشة أبوه عثمان بن ربيعة، ولم يذكر موسى ابن عقبة ولا أبو معشر واحدا منهما فيمن هاجر إلى أرض الحبشة.</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297)/(دار الفكر - بيروت،1989،ط 1،ج 4،ص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بن ربيعة
</w:t>
      </w:r>
    </w:p>
    <w:p>
      <w:pPr/>
      <w:r>
        <w:rPr/>
        <w:t xml:space="preserve">نبيه بن عثمان بن ربيعة بن وهب بن حذيفة بن جمح القرشي الجمحي.</w:t>
      </w:r>
    </w:p>
    <w:p/>
    <w:p>
      <w:pPr/>
      <w:r>
        <w:rPr/>
        <w:t xml:space="preserve">ذكره الواقدي فيمن هاجر إلى الحبشة الهجرة الثانية، قال: وكان قديم الإسلام.</w:t>
      </w:r>
    </w:p>
    <w:p/>
    <w:p>
      <w:pPr/>
      <w:r>
        <w:rPr/>
        <w:t xml:space="preserve">انتهى.</w:t>
      </w:r>
    </w:p>
    <w:p/>
    <w:p>
      <w:pPr/>
      <w:r>
        <w:rPr/>
        <w:t xml:space="preserve">ولم يذكره ابن إسحاق ولا موسى بن عقبة، ولا أبو معشر، وذكر البلاذري أنه ركب السفينة مع جعفر بن أبي طالب.</w:t>
      </w:r>
    </w:p>
    <w:p>
      <w:pPr>
        <w:jc w:val="start"/>
        <w:bidi/>
      </w:pPr>
      <w:r>
        <w:rPr>
          <w:sz w:val="24"/>
          <w:szCs w:val="24"/>
          <w:b w:val="1"/>
          <w:bCs w:val="1"/>
          <w:rtl/>
        </w:rPr>
        <w:t xml:space="preserve">
الإصابة في تمييز الصحابة،(دار الكتب العلمية - بيروت،1995،ط 1،ج 6،ص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بن ربيعة بن وهب بن حذافة بن جمح
</w:t>
      </w:r>
    </w:p>
    <w:p>
      <w:pPr/>
      <w:r>
        <w:rPr/>
        <w:t xml:space="preserve">نبيه بن عثمان بن ربيعة بن وهب بن حذافة بن جمح  كان قديم الإسلام بمكة وهاجر إلى أرض الحبشة الهجرة الثانية، هذا قول الواقدي.</w:t>
      </w:r>
    </w:p>
    <w:p/>
    <w:p>
      <w:pPr/>
      <w:r>
        <w:rPr/>
        <w:t xml:space="preserve">وقال ابن إسحاق: الذي هاجر إلى أرض الحبشة أبوه عثمان بن ربيعة، ولم يذكر موسى بن عقبة ولا أبو معشر واحدا منهما فيمن هاجر إلى أرض الحبشة.</w:t>
      </w:r>
    </w:p>
    <w:p>
      <w:pPr>
        <w:jc w:val="start"/>
        <w:bidi/>
      </w:pPr>
      <w:r>
        <w:rPr>
          <w:sz w:val="24"/>
          <w:szCs w:val="24"/>
          <w:b w:val="1"/>
          <w:bCs w:val="1"/>
          <w:rtl/>
        </w:rPr>
        <w:t xml:space="preserve">
الاستيعاب في معرفة الأصحاب،(دار الجيل - بيروت،1992،ط 1،ج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w:t>
      </w:r>
    </w:p>
    <w:p>
      <w:pPr/>
      <w:r>
        <w:rPr/>
        <w:t xml:space="preserve">نبيه بن عثمان بن ربيعة بن وهبان بن حذافة بن جمح.</w:t>
      </w:r>
    </w:p>
    <w:p/>
    <w:p>
      <w:pPr/>
      <w:r>
        <w:rPr/>
        <w:t xml:space="preserve">قال محمد بن عمر: وكان قديم الإسلام بمكة وهاجر إلى أرض الحبشة في الهجرة الثانية. وأما في رواية محمد بن إسحاق فإن الذي هاجر إلى أرض الحبشة أبوه عثمان بن ربيعة. فالله أعلم. ولم يذكر موسى بن عقبة وأبو معشر واحدا منهما في روايتهما فيمن هاجر إلى أرض الحبشة.</w:t>
      </w:r>
    </w:p>
    <w:p/>
    <w:p>
      <w:pPr/>
      <w:r>
        <w:rPr/>
        <w:t xml:space="preserve">ومن بني عامر بن لؤي</w:t>
      </w:r>
    </w:p>
    <w:p>
      <w:pPr>
        <w:jc w:val="start"/>
        <w:bidi/>
      </w:pPr>
      <w:r>
        <w:rPr>
          <w:sz w:val="24"/>
          <w:szCs w:val="24"/>
          <w:b w:val="1"/>
          <w:bCs w:val="1"/>
          <w:rtl/>
        </w:rPr>
        <w:t xml:space="preserve">
الطبقات الكبرى،(دار الكتب العلمية - بيروت،1990،ط 1،ج 4،ص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بن ربيعة بن وهبان بن وهب بن حذافة بن جمح القرشي الجمحي
</w:t>
      </w:r>
    </w:p>
    <w:p>
      <w:pPr/>
      <w:r>
        <w:rPr/>
        <w:t xml:space="preserve">نبيه بن عثمان بن ربيعة بن وهبان بن وهب بن حذافة بن جمح القرشي الجمحي: </w:t>
      </w:r>
    </w:p>
    <w:p/>
    <w:p>
      <w:pPr/>
      <w:r>
        <w:rPr/>
        <w:t xml:space="preserve">نسبه ابن عبد البر كما ذكرنا، وقال: كان قديم الإسلام بمكة، وهاجر إلى أرض</w:t>
      </w:r>
    </w:p>
    <w:p/>
    <w:p>
      <w:pPr/>
      <w:r>
        <w:rPr/>
        <w:t xml:space="preserve">الحبشة الهجرة الثانية، هذا قول الواقدي. وقال ابن إسحاق: الذي هاجر إلى أرض الحبشة، أبوه عثمان بن ربيعة. ولم يذكر موسى بن عقبة، ولا أبو معشر، واحدا منهما فيمن هاجر إلى أرض الحبشة.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2026-07-28T08:57:37+03:00</dcterms:created>
  <dcterms:modified xsi:type="dcterms:W3CDTF">2026-07-28T08:57:37+03:00</dcterms:modified>
</cp:coreProperties>
</file>

<file path=docProps/custom.xml><?xml version="1.0" encoding="utf-8"?>
<Properties xmlns="http://schemas.openxmlformats.org/officeDocument/2006/custom-properties" xmlns:vt="http://schemas.openxmlformats.org/officeDocument/2006/docPropsVTypes"/>
</file>