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المعلى بن لوذان
</w:t>
      </w:r>
    </w:p>
    <w:p>
      <w:pPr>
        <w:jc w:val="start"/>
        <w:bidi/>
      </w:pPr>
      <w:r>
        <w:rPr>
          <w:rFonts w:ascii="arial" w:hAnsi="arial" w:eastAsia="arial" w:cs="arial"/>
          <w:sz w:val="28"/>
          <w:szCs w:val="28"/>
          <w:b w:val="1"/>
          <w:bCs w:val="1"/>
          <w:rtl/>
        </w:rPr>
        <w:t xml:space="preserve">المعلى بن لوذان
</w:t>
      </w:r>
    </w:p>
    <w:p>
      <w:pPr/>
      <w:r>
        <w:rPr/>
        <w:t xml:space="preserve">المعلى بن لوذان المعلى بن لوذان بن حارثة بن زيد بن ثعلبة بن عدي بن مالك بن زيد مناة بن حبيب ابن عبد حارثة بن مالك بن غضب بن مالك بن جشم بن الخزرج الأنصاري الخزرجي.</w:t>
      </w:r>
    </w:p>
    <w:p/>
    <w:p>
      <w:pPr/>
      <w:r>
        <w:rPr/>
        <w:t xml:space="preserve">قاله ابن الكلبي.</w:t>
      </w:r>
    </w:p>
    <w:p>
      <w:pPr>
        <w:jc w:val="start"/>
        <w:bidi/>
      </w:pPr>
      <w:r>
        <w:rPr>
          <w:sz w:val="24"/>
          <w:szCs w:val="24"/>
          <w:b w:val="1"/>
          <w:bCs w:val="1"/>
          <w:rtl/>
        </w:rPr>
        <w:t xml:space="preserve">
أسد الغابة في معرفة الصحابة،(دار ابن حزم - بيروت،2012،ط 1،ج 1،ص 1156)/(دار الكتب العلمية - بيروت،1994،ط 1،ج 5،ص 225)/(دار الفكر - بيروت،1989،ط 1،ج 4،ص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2026-09-20T20:22:54+03:00</dcterms:created>
  <dcterms:modified xsi:type="dcterms:W3CDTF">2026-09-20T20:22:54+03:00</dcterms:modified>
</cp:coreProperties>
</file>

<file path=docProps/custom.xml><?xml version="1.0" encoding="utf-8"?>
<Properties xmlns="http://schemas.openxmlformats.org/officeDocument/2006/custom-properties" xmlns:vt="http://schemas.openxmlformats.org/officeDocument/2006/docPropsVTypes"/>
</file>