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الثقفي
</w:t>
      </w:r>
    </w:p>
    <w:p>
      <w:pPr/>
      <w:r>
        <w:rPr/>
        <w:t xml:space="preserve">مسعود الثقفي (س) مسعود الثقفي.</w:t>
      </w:r>
    </w:p>
    <w:p/>
    <w:p>
      <w:pPr/>
      <w:r>
        <w:rPr/>
        <w:t xml:space="preserve">أدرك الجاهلية، وهو معدود في التابعين.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1124)/(دار الكتب العلمية - بيروت،1994،ط 1،ج 5،ص 153)/(دار الفكر - بيروت،1989،ط 1،ج 4،ص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الثقفي
</w:t>
      </w:r>
    </w:p>
    <w:p>
      <w:pPr/>
      <w:r>
        <w:rPr/>
        <w:t xml:space="preserve">مسعود الثقفي أدرك الجاهلية، ذكره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2026-09-21T05:23:51+03:00</dcterms:created>
  <dcterms:modified xsi:type="dcterms:W3CDTF">2026-09-21T05:23:51+03:00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