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عقبة
</w:t>
      </w:r>
    </w:p>
    <w:p>
      <w:pPr>
        <w:jc w:val="start"/>
        <w:bidi/>
      </w:pPr>
      <w:r>
        <w:rPr>
          <w:rFonts w:ascii="arial" w:hAnsi="arial" w:eastAsia="arial" w:cs="arial"/>
          <w:sz w:val="28"/>
          <w:szCs w:val="28"/>
          <w:b w:val="1"/>
          <w:bCs w:val="1"/>
          <w:rtl/>
        </w:rPr>
        <w:t xml:space="preserve">مالك بن عقبة
</w:t>
      </w:r>
    </w:p>
    <w:p>
      <w:pPr/>
      <w:r>
        <w:rPr/>
        <w:t xml:space="preserve">مالك بن عقبة (ب س) مالك بن عقبة- أو: عقبة بن مالك.</w:t>
      </w:r>
    </w:p>
    <w:p/>
    <w:p>
      <w:pPr/>
      <w:r>
        <w:rPr/>
        <w:t xml:space="preserve">هكذا ذكروه على الشك، له صحبة. روى عنه بشر بن عاصم. وقيل: الصحيح عقبة ابن مالك.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1071)/(دار الكتب العلمية - بيروت،1994،ط 1،ج 5،ص 32)/(دار الفكر - بيروت،1989،ط 1،ج 4،ص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عقبة
</w:t>
      </w:r>
    </w:p>
    <w:p>
      <w:pPr/>
      <w:r>
        <w:rPr/>
        <w:t xml:space="preserve">مالك بن عقبة ذكره يحيى بن يونس أيضا، وقال: روى عنه بشر بن عاصم، واستدركه أبو موسى، وقال: قيل الصحيح عقبة بن مالك. انتهى.</w:t>
      </w:r>
    </w:p>
    <w:p/>
    <w:p>
      <w:pPr/>
      <w:r>
        <w:rPr/>
        <w:t xml:space="preserve">وهذا هو الصواب، فكأنه انقلب في رواية وقعت ليحيى بن يونس.</w:t>
      </w:r>
    </w:p>
    <w:p>
      <w:pPr>
        <w:jc w:val="start"/>
        <w:bidi/>
      </w:pPr>
      <w:r>
        <w:rPr>
          <w:sz w:val="24"/>
          <w:szCs w:val="24"/>
          <w:b w:val="1"/>
          <w:bCs w:val="1"/>
          <w:rtl/>
        </w:rPr>
        <w:t xml:space="preserve">
الإصابة في تمييز الصحابة،(دار الكتب العلمية - بيروت،1995،ط 1،ج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عقبة أو عقبة بن مالك
</w:t>
      </w:r>
    </w:p>
    <w:p>
      <w:pPr/>
      <w:r>
        <w:rPr/>
        <w:t xml:space="preserve">مالك بن عقبة أو عقبة بن مالك  هكذا جرى ذكره على الشك، هو مذكور في الصحابة، روى عنه بشير بن عاصم.</w:t>
      </w:r>
    </w:p>
    <w:p>
      <w:pPr>
        <w:jc w:val="start"/>
        <w:bidi/>
      </w:pPr>
      <w:r>
        <w:rPr>
          <w:sz w:val="24"/>
          <w:szCs w:val="24"/>
          <w:b w:val="1"/>
          <w:bCs w:val="1"/>
          <w:rtl/>
        </w:rPr>
        <w:t xml:space="preserve">
الاستيعاب في معرفة الأصحاب،(دار الجيل - بيروت،1992،ط 1،ج 3،ص 1354)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عقبة أو عقبة بن مالك
</w:t>
      </w:r>
    </w:p>
    <w:p>
      <w:pPr/>
      <w:r>
        <w:rPr/>
        <w:t xml:space="preserve">مالك بن عقبة أو عقبة بن مالك </w:t>
      </w:r>
    </w:p>
    <w:p/>
    <w:p>
      <w:pPr/>
      <w:r>
        <w:rPr/>
        <w:t xml:space="preserve">حدثنا عبد الله بن محمد، نا صالح بن حاتم، نا يزيد بن زريع، نا يونس، عن حميد بن هلال، عن بشر بن عاصم، عن مالك بن عقبة، أو عقبة بن مالك قال: «بعث رسول الله صلى الله عليه وسلم سريةً فأغارت على قوم فقال رجلٌ إني مسلمٌ» وذكر الحديث قال ابن قانع: وهذا بلا شك عقبة بن مالك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2026-09-23T02:05:57+03:00</dcterms:created>
  <dcterms:modified xsi:type="dcterms:W3CDTF">2026-09-23T02:05:57+03:00</dcterms:modified>
</cp:coreProperties>
</file>

<file path=docProps/custom.xml><?xml version="1.0" encoding="utf-8"?>
<Properties xmlns="http://schemas.openxmlformats.org/officeDocument/2006/custom-properties" xmlns:vt="http://schemas.openxmlformats.org/officeDocument/2006/docPropsVTypes"/>
</file>