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حمرة
</w:t>
      </w:r>
    </w:p>
    <w:p>
      <w:pPr>
        <w:jc w:val="start"/>
        <w:bidi/>
      </w:pPr>
      <w:r>
        <w:rPr>
          <w:rFonts w:ascii="arial" w:hAnsi="arial" w:eastAsia="arial" w:cs="arial"/>
          <w:sz w:val="28"/>
          <w:szCs w:val="28"/>
          <w:b w:val="1"/>
          <w:bCs w:val="1"/>
          <w:rtl/>
        </w:rPr>
        <w:t xml:space="preserve">مالك بن حمرة
</w:t>
      </w:r>
    </w:p>
    <w:p>
      <w:pPr/>
      <w:r>
        <w:rPr/>
        <w:t xml:space="preserve">مالك بن حمرة (ب) مالك بن حمرة بن أيفع بن كرب الهمداني الناعطي.</w:t>
      </w:r>
    </w:p>
    <w:p/>
    <w:p>
      <w:pPr/>
      <w:r>
        <w:rPr/>
        <w:t xml:space="preserve">أسلم هو وعماه عمرو، ومالك ابنا أيفع. وناعط هو ربيعة بن مرثد، منهم: مجالد بن سعيد، وعامر بن شهر صاحب رسول الله صلى الله عليه وآله وسلم.</w:t>
      </w:r>
    </w:p>
    <w:p/>
    <w:p>
      <w:pPr/>
      <w:r>
        <w:rPr/>
        <w:t xml:space="preserve">أخرجه أبو عمر.</w:t>
      </w:r>
    </w:p>
    <w:p/>
    <w:p>
      <w:pPr/>
      <w:r>
        <w:rPr/>
        <w:t xml:space="preserve">حمرة: بضم الحاء المهملة، وتسكين الميم، وبالراء.</w:t>
      </w:r>
    </w:p>
    <w:p>
      <w:pPr>
        <w:jc w:val="start"/>
        <w:bidi/>
      </w:pPr>
      <w:r>
        <w:rPr>
          <w:sz w:val="24"/>
          <w:szCs w:val="24"/>
          <w:b w:val="1"/>
          <w:bCs w:val="1"/>
          <w:rtl/>
        </w:rPr>
        <w:t xml:space="preserve">
أسد الغابة في معرفة الصحابة،(دار ابن حزم - بيروت،2012،ط 1،ج 1،ص 1065)/(دار الكتب العلمية - بيروت،1994،ط 1،ج 5،ص 18)/(دار الفكر - بيروت،1989،ط 1،ج 4،ص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حمرة بن أيفع بن كرب الناعطي الهمداني
</w:t>
      </w:r>
    </w:p>
    <w:p>
      <w:pPr/>
      <w:r>
        <w:rPr/>
        <w:t xml:space="preserve">مالك بن حمرة بن أيفع بن كرب الناعطي الهمداني  أسلم هو وعماه عمرو ومالك ابنا أيفع بن كرب الناعطي. وناعط هو ربيعة بن مرثد الهمداني، وهو رهط مجالد بن سعيد المحدث، ورهط عامر بن شهر صاحب رسول الله صلى الله عليه وسلم.</w:t>
      </w:r>
    </w:p>
    <w:p>
      <w:pPr>
        <w:jc w:val="start"/>
        <w:bidi/>
      </w:pPr>
      <w:r>
        <w:rPr>
          <w:sz w:val="24"/>
          <w:szCs w:val="24"/>
          <w:b w:val="1"/>
          <w:bCs w:val="1"/>
          <w:rtl/>
        </w:rPr>
        <w:t xml:space="preserve">
الاستيعاب في معرفة الأصحاب،(دار الجيل - بيروت،1992،ط 1،ج 3،ص 1349)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2026-09-22T10:08:34+03:00</dcterms:created>
  <dcterms:modified xsi:type="dcterms:W3CDTF">2026-09-22T10:08:34+03:00</dcterms:modified>
</cp:coreProperties>
</file>

<file path=docProps/custom.xml><?xml version="1.0" encoding="utf-8"?>
<Properties xmlns="http://schemas.openxmlformats.org/officeDocument/2006/custom-properties" xmlns:vt="http://schemas.openxmlformats.org/officeDocument/2006/docPropsVTypes"/>
</file>