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إجناس كولد صهر
</w:t>
      </w:r>
    </w:p>
    <w:p>
      <w:pPr>
        <w:jc w:val="start"/>
        <w:bidi/>
      </w:pPr>
      <w:r>
        <w:rPr>
          <w:rFonts w:ascii="arial" w:hAnsi="arial" w:eastAsia="arial" w:cs="arial"/>
          <w:sz w:val="28"/>
          <w:szCs w:val="28"/>
          <w:b w:val="1"/>
          <w:bCs w:val="1"/>
          <w:rtl/>
        </w:rPr>
        <w:t xml:space="preserve">كولد صهر
</w:t>
      </w:r>
    </w:p>
    <w:p>
      <w:pPr/>
      <w:r>
        <w:rPr/>
        <w:t xml:space="preserve">كولد صهر  اجناس كولد صهر Ignaz Goldziher مستشرق مجرى موسوي يلفظ اسمه بالالمانية اجناتس. جولد تسهير. تعلم في بودابست وبرلين وليبسيك. ورحل إلى سورية سنة 1873 م، فتعرف بالشيخ طاهر الجزائري وصحبه مدة. وانتقل إلى فلسطين، فمصر حيث لازم بعض علماء الازهر، وعين استاذا في جامعة بودابست (عاصمة المجر) وتوفي بها. له تصانيف باللغات الالمانية والانكليزية والفرنسية، في الاسلام والفقه الاسلامي، والادب العربي، ترجم بعضها إلى العربية ونشرت مدرسة اللغات الشرقية باريس كتابا بالفرنسية في مؤلفاته وآثاره. ومما نشره بالعربية ’’ديوان الحطيئة’’ وجزء كبير من كتاب ’’فضائح الباطنية’’ المعروف بالمستظهري، للغزالي وترجم إلى الالمانية كتاب (توجيه النظر إلى علم الاثر) للطاهر الجزائري، وكتاب (المعمرين) للسجستاني، وغيرهما. وترجم إلى العربية من كتبه (العقيدة والشريعة في الاسلام - ط).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2026-09-16T10:43:10+03:00</dcterms:created>
  <dcterms:modified xsi:type="dcterms:W3CDTF">2026-09-16T10:43:10+03:00</dcterms:modified>
</cp:coreProperties>
</file>

<file path=docProps/custom.xml><?xml version="1.0" encoding="utf-8"?>
<Properties xmlns="http://schemas.openxmlformats.org/officeDocument/2006/custom-properties" xmlns:vt="http://schemas.openxmlformats.org/officeDocument/2006/docPropsVTypes"/>
</file>