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لبدة بن عامر بن خثعمة
</w:t>
      </w:r>
    </w:p>
    <w:p>
      <w:pPr>
        <w:jc w:val="start"/>
        <w:bidi/>
      </w:pPr>
      <w:r>
        <w:rPr>
          <w:rFonts w:ascii="arial" w:hAnsi="arial" w:eastAsia="arial" w:cs="arial"/>
          <w:sz w:val="28"/>
          <w:szCs w:val="28"/>
          <w:b w:val="1"/>
          <w:bCs w:val="1"/>
          <w:rtl/>
        </w:rPr>
        <w:t xml:space="preserve">لبدة بن عامر بن خثعمة
</w:t>
      </w:r>
    </w:p>
    <w:p>
      <w:pPr/>
      <w:r>
        <w:rPr/>
        <w:t xml:space="preserve">لبدة بن عامر بن خثعمة لبدة بن عامر بن خثعمة.</w:t>
      </w:r>
    </w:p>
    <w:p/>
    <w:p>
      <w:pPr/>
      <w:r>
        <w:rPr/>
        <w:t xml:space="preserve">ممن أدرك النبي صلى الله عليه وآله وسلم، ووجهه أبو عبيدة بن الجراح قائدا على خيل بعد وقعة اليرموك من مرج الصفر إلى فحل من أرض فلسطين، ذكره سيف بن عمر.</w:t>
      </w:r>
    </w:p>
    <w:p/>
    <w:p>
      <w:pPr/>
      <w:r>
        <w:rPr/>
        <w:t xml:space="preserve">أخرجه أبو القاسم بن عساكر.</w:t>
      </w:r>
    </w:p>
    <w:p>
      <w:pPr>
        <w:jc w:val="start"/>
        <w:bidi/>
      </w:pPr>
      <w:r>
        <w:rPr>
          <w:sz w:val="24"/>
          <w:szCs w:val="24"/>
          <w:b w:val="1"/>
          <w:bCs w:val="1"/>
          <w:rtl/>
        </w:rPr>
        <w:t xml:space="preserve">
أسد الغابة في معرفة الصحابة،(دار ابن حزم - بيروت،2012،ط 1،ج 1،ص 1051)/(دار الكتب العلمية - بيروت،1994،ط 1،ج 4،ص 480)/(دار الفكر - بيروت،1989،ط 1،ج 4،ص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2026-09-22T15:01:21+03:00</dcterms:created>
  <dcterms:modified xsi:type="dcterms:W3CDTF">2026-09-22T15:01:21+03:00</dcterms:modified>
</cp:coreProperties>
</file>

<file path=docProps/custom.xml><?xml version="1.0" encoding="utf-8"?>
<Properties xmlns="http://schemas.openxmlformats.org/officeDocument/2006/custom-properties" xmlns:vt="http://schemas.openxmlformats.org/officeDocument/2006/docPropsVTypes"/>
</file>