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كشذ الجهني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كشذ الجهني
</w:t>
      </w:r>
    </w:p>
    <w:p>
      <w:pPr/>
      <w:r>
        <w:rPr/>
        <w:t xml:space="preserve">كشذ الجهني (د ع) كشذ الجهني.</w:t>
      </w:r>
    </w:p>
    <w:p/>
    <w:p>
      <w:pPr/>
      <w:r>
        <w:rPr/>
        <w:t xml:space="preserve">رأى النبي صلى الله عليه وآله وسلم روى حديثه محمد بن عمر الواقدي، عن عبد العزيز بن عمران، عن واقد بن عبد الله، عنه- إن كان محفوظا.</w:t>
      </w:r>
    </w:p>
    <w:p/>
    <w:p>
      <w:pPr/>
      <w:r>
        <w:rPr/>
        <w:t xml:space="preserve">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1036)/(دار الكتب العلمية - بيروت،1994،ط 1،ج 4،ص 447)/(دار الفكر - بيروت،1989،ط 1،ج 4،ص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2026-09-20T16:10:16+03:00</dcterms:created>
  <dcterms:modified xsi:type="dcterms:W3CDTF">2026-09-20T16:10:16+03:00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