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عوف بن ربيع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ربيع
</w:t>
      </w:r>
    </w:p>
    <w:p>
      <w:pPr/>
      <w:r>
        <w:rPr/>
        <w:t xml:space="preserve">عوف بن ربيع (د ع) عوف بن ربيع بن جارية بن ساعدة بن خزيمة بن نصر بن قعين بن الحارث ابن ثعلبة بن دودان بن أسد بن خزيمة، ذو الخيار.</w:t>
      </w:r>
    </w:p>
    <w:p/>
    <w:p>
      <w:pPr/>
      <w:r>
        <w:rPr/>
        <w:t xml:space="preserve">وفد على النبي صلى الله عليه وآله وسلم، ونزل الرقة، وعقبة بها.</w:t>
      </w:r>
    </w:p>
    <w:p/>
    <w:p>
      <w:pPr/>
      <w:r>
        <w:rPr/>
        <w:t xml:space="preserve">أخرجه ابن منده وأبو نعيم، وقال أبو نعيم: ذكره بعض المتأخرين عن علي بن أحمد الحراني، عن محمود بن محمد الأديب، لم يزد عليه، ولم يذكره أبو عروبة، ولا أبو على بن سعيد في تاريخ الجزريين.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971)/(دار الكتب العلمية - بيروت،1994،ط 1،ج 4،ص 298)/(دار الفكر - بيروت،1989،ط 1،ج 4،ص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ربيع
</w:t>
      </w:r>
    </w:p>
    <w:p>
      <w:pPr/>
      <w:r>
        <w:rPr/>
        <w:t xml:space="preserve">عوف بن ربيع بن حارثة بن ساعدة بن خزيمة بن نصر بن قيس بن الحارث بن ثعلبة بن دودان بن أسد بن خزيمة الأسدي، ذو الخيار.</w:t>
      </w:r>
    </w:p>
    <w:p/>
    <w:p>
      <w:pPr/>
      <w:r>
        <w:rPr/>
        <w:t xml:space="preserve">وفد على النبي صلى الله عليه وسلم، ثم نزل الرقة وولده بها.</w:t>
      </w:r>
    </w:p>
    <w:p/>
    <w:p>
      <w:pPr/>
      <w:r>
        <w:rPr/>
        <w:t xml:space="preserve">ذكره ابن مندة عن علي بن أحمد الخزاعي، عن محمود بن محمد الأديب، ولم يذكره أبو عروبة ولا غيره في تاريخ الخزرجيين، قاله 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615)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2026-07-27T21:27:02+03:00</dcterms:created>
  <dcterms:modified xsi:type="dcterms:W3CDTF">2026-07-27T21:27:02+03:00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