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الكركوكلي
</w:t>
      </w:r>
    </w:p>
    <w:p>
      <w:pPr>
        <w:jc w:val="start"/>
        <w:bidi/>
      </w:pPr>
      <w:r>
        <w:rPr>
          <w:rFonts w:ascii="arial" w:hAnsi="arial" w:eastAsia="arial" w:cs="arial"/>
          <w:sz w:val="28"/>
          <w:szCs w:val="28"/>
          <w:b w:val="1"/>
          <w:bCs w:val="1"/>
          <w:rtl/>
        </w:rPr>
        <w:t xml:space="preserve">الكركوكلي
</w:t>
      </w:r>
    </w:p>
    <w:p>
      <w:pPr/>
      <w:r>
        <w:rPr/>
        <w:t xml:space="preserve">الكركوكلي رسول بن يعقوب الماهوني أصلا، الكركوكلي وطنا: مؤرخ تركي الأصل والمنشأ.</w:t>
      </w:r>
    </w:p>
    <w:p/>
    <w:p>
      <w:pPr/>
      <w:r>
        <w:rPr/>
        <w:t xml:space="preserve">هاجر من كركوك إلى بغداد سنة 1220 هـ وعين كاتبا في (المصرفخانة) دار الصرف، وصنف بأمر الوالي (داود باشا) ببغداد، كتاب (دوحة الوزراء) بلغة مزيج من اللغات الثلاث (العربية والفارسية والتركية) ، ترجمه إلى العربية موسى كاظم تورس وسماه (دوحة الوزراء في تاريخ وقائع بغداد الزوراء - ط).</w:t>
      </w:r>
    </w:p>
    <w:p>
      <w:pPr>
        <w:jc w:val="start"/>
        <w:bidi/>
      </w:pPr>
      <w:r>
        <w:rPr>
          <w:sz w:val="24"/>
          <w:szCs w:val="24"/>
          <w:b w:val="1"/>
          <w:bCs w:val="1"/>
          <w:rtl/>
        </w:rPr>
        <w:t xml:space="preserve">
الأعلام،(دار العلم للملايين - بيروت،2002،ط 15،ج 3،ص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2026-09-24T21:56:55+03:00</dcterms:created>
  <dcterms:modified xsi:type="dcterms:W3CDTF">2026-09-24T21:56:55+03:00</dcterms:modified>
</cp:coreProperties>
</file>

<file path=docProps/custom.xml><?xml version="1.0" encoding="utf-8"?>
<Properties xmlns="http://schemas.openxmlformats.org/officeDocument/2006/custom-properties" xmlns:vt="http://schemas.openxmlformats.org/officeDocument/2006/docPropsVTypes"/>
</file>