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تغلب
</w:t>
      </w:r>
    </w:p>
    <w:p>
      <w:pPr/>
      <w:r>
        <w:rPr/>
        <w:t xml:space="preserve">أعشى تغلب ربيعة بن يحيى بن معاوية، من بني تغلب: شاعر، اشتهر في العصر الأموي. مولده بنواحي الموصل. قصد الشام، واتصل الوليد بن عبد الملك، فكان يفد عليه بالمدائح ويعود بالعطايا.</w:t>
      </w:r>
    </w:p>
    <w:p/>
    <w:p>
      <w:pPr/>
      <w:r>
        <w:rPr/>
        <w:t xml:space="preserve">قال ياقوت: كان نصرانيا، وعلى النصرانية مات، وكان يتردد بين البداوة والحضارة، فإذا حضر سكن الشام، وإذا بدا نزل بنواحي الموصل وديار ربيعة حيث منازل قومه.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2026-09-24T21:22:37+03:00</dcterms:created>
  <dcterms:modified xsi:type="dcterms:W3CDTF">2026-09-24T21:22:37+03:00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