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الخوري
</w:t>
      </w:r>
    </w:p>
    <w:p>
      <w:pPr>
        <w:jc w:val="start"/>
        <w:bidi/>
      </w:pPr>
      <w:r>
        <w:rPr>
          <w:rFonts w:ascii="arial" w:hAnsi="arial" w:eastAsia="arial" w:cs="arial"/>
          <w:sz w:val="28"/>
          <w:szCs w:val="28"/>
          <w:b w:val="1"/>
          <w:bCs w:val="1"/>
          <w:rtl/>
        </w:rPr>
        <w:t xml:space="preserve">الخوري
</w:t>
      </w:r>
    </w:p>
    <w:p>
      <w:pPr/>
      <w:r>
        <w:rPr/>
        <w:t xml:space="preserve">الخوري رئيف الخوري: أديب وأستاذ في الأدب العربي. لبناني، من بلدة (نابيه) بالمتن، من طائفة الروم الأرثوذكس تخرج بالجامعة الأميركية في بيروت (1933). ودرس وحاضر في لبنان ومصر وبغداد وأميركا وروسيا، وعمل في الصحافة ببيروت ودمشق، وصنف نحو 17 كتابا بين موضوع ومترجم، منها (أثر الثورة الفرنسية في الفكر العربي المعاصر - ط) و (حقوق الإنسان - ط) و (النقد والدراسة الادبية - ط) (معالم الوعي القومي - ط) و (مع العرب في التاريخ والأسطورة - ط) و (ديك الجن - ط) و (أمين الريحاني - ط) و (ديوان شعر - خ) وأصابه السرطان في رأسه، فمات في قريته.</w:t>
      </w:r>
    </w:p>
    <w:p>
      <w:pPr>
        <w:jc w:val="start"/>
        <w:bidi/>
      </w:pPr>
      <w:r>
        <w:rPr>
          <w:sz w:val="24"/>
          <w:szCs w:val="24"/>
          <w:b w:val="1"/>
          <w:bCs w:val="1"/>
          <w:rtl/>
        </w:rPr>
        <w:t xml:space="preserve">
الأعلام،(دار العلم للملايين - بيروت،2002،ط 15،ج 3،ص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2026-09-24T20:16:25+03:00</dcterms:created>
  <dcterms:modified xsi:type="dcterms:W3CDTF">2026-09-24T20:16:25+03:00</dcterms:modified>
</cp:coreProperties>
</file>

<file path=docProps/custom.xml><?xml version="1.0" encoding="utf-8"?>
<Properties xmlns="http://schemas.openxmlformats.org/officeDocument/2006/custom-properties" xmlns:vt="http://schemas.openxmlformats.org/officeDocument/2006/docPropsVTypes"/>
</file>