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راشد بن النضر
</w:t>
      </w:r>
    </w:p>
    <w:p>
      <w:pPr>
        <w:jc w:val="start"/>
        <w:bidi/>
      </w:pPr>
      <w:r>
        <w:rPr>
          <w:rFonts w:ascii="arial" w:hAnsi="arial" w:eastAsia="arial" w:cs="arial"/>
          <w:sz w:val="28"/>
          <w:szCs w:val="28"/>
          <w:b w:val="1"/>
          <w:bCs w:val="1"/>
          <w:rtl/>
        </w:rPr>
        <w:t xml:space="preserve">راشد بن النضر
</w:t>
      </w:r>
    </w:p>
    <w:p>
      <w:pPr/>
      <w:r>
        <w:rPr/>
        <w:t xml:space="preserve">راشد بن النضر راشد بن النضر اليحمدي: من أئمة الأزد الإباضية في عمان. بايع له معظم رجال الدولة العمانية يوم خلع الصلت بن مالك (سنة 272 هـ وأقام بنزوى. وانقض عليه كثير من وجوه الأزد، فقاتلهم، ولم تحمد سيرته.</w:t>
      </w:r>
    </w:p>
    <w:p/>
    <w:p>
      <w:pPr/>
      <w:r>
        <w:rPr/>
        <w:t xml:space="preserve">وعمت، الفتنة فسارت القبائل إلى دار الإمامة بنزوى، وأسروه بعد أن هزموا جنوده وأنصاره، وعزلوه من الإمامة، وحبسوه مقيدا، سنة 277 هـ ثم عادوا إليه بعد مدة، فأعادوه إلى الإمامة ثانية سنة 280 هـ ولم يلبثوا أن قالوا بضلاله وخلعوه.</w:t>
      </w:r>
    </w:p>
    <w:p>
      <w:pPr>
        <w:jc w:val="start"/>
        <w:bidi/>
      </w:pPr>
      <w:r>
        <w:rPr>
          <w:sz w:val="24"/>
          <w:szCs w:val="24"/>
          <w:b w:val="1"/>
          <w:bCs w:val="1"/>
          <w:rtl/>
        </w:rPr>
        <w:t xml:space="preserve">
الأعلام،(دار العلم للملايين - بيروت،2002،ط 15،ج 3،ص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2026-09-24T20:27:51+03:00</dcterms:created>
  <dcterms:modified xsi:type="dcterms:W3CDTF">2026-09-24T20:27:51+03:00</dcterms:modified>
</cp:coreProperties>
</file>

<file path=docProps/custom.xml><?xml version="1.0" encoding="utf-8"?>
<Properties xmlns="http://schemas.openxmlformats.org/officeDocument/2006/custom-properties" xmlns:vt="http://schemas.openxmlformats.org/officeDocument/2006/docPropsVTypes"/>
</file>