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الدعام الارجبي
</w:t>
      </w:r>
    </w:p>
    <w:p>
      <w:pPr>
        <w:jc w:val="start"/>
        <w:bidi/>
      </w:pPr>
      <w:r>
        <w:rPr>
          <w:rFonts w:ascii="arial" w:hAnsi="arial" w:eastAsia="arial" w:cs="arial"/>
          <w:sz w:val="28"/>
          <w:szCs w:val="28"/>
          <w:b w:val="1"/>
          <w:bCs w:val="1"/>
          <w:rtl/>
        </w:rPr>
        <w:t xml:space="preserve">الدعام الارجبي
</w:t>
      </w:r>
    </w:p>
    <w:p>
      <w:pPr/>
      <w:r>
        <w:rPr/>
        <w:t xml:space="preserve">الدعام الارجبي  الدعام بن ابراهيم بن عبد الله بن يأس الارحبي: شيخ كهلان، بل سيد همادن، في عصره، اشتهر بالنجدة والفروسية والدهاء والجود. قال الهمداني (هو الذي قام على آل يعفر - في اليمن - فأستلب المملكة منهم، وملك بلدهم، وتأمر بصنعاء، وجبيت اليه اليمن إلى ساحل عدن) واستعان آل يعفر، بالموفق والمعتضد، فخرج الدعام من صنعاء، ثم عاد اليها مع الهادي إلى الحق (يحيى بن الحسين) سنة 288 هـ ، وسلمه بلد همادن، وقاتل معه القرامطة وغيرهم، وظل معه إلى اخر ايامه</w:t>
      </w:r>
    </w:p>
    <w:p>
      <w:pPr>
        <w:jc w:val="start"/>
        <w:bidi/>
      </w:pPr>
      <w:r>
        <w:rPr>
          <w:sz w:val="24"/>
          <w:szCs w:val="24"/>
          <w:b w:val="1"/>
          <w:bCs w:val="1"/>
          <w:rtl/>
        </w:rPr>
        <w:t xml:space="preserve">
الأعلام،(دار العلم للملايين - بيروت،2002،ط 15،ج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2026-09-24T18:12:47+03:00</dcterms:created>
  <dcterms:modified xsi:type="dcterms:W3CDTF">2026-09-24T18:12:47+03:00</dcterms:modified>
</cp:coreProperties>
</file>

<file path=docProps/custom.xml><?xml version="1.0" encoding="utf-8"?>
<Properties xmlns="http://schemas.openxmlformats.org/officeDocument/2006/custom-properties" xmlns:vt="http://schemas.openxmlformats.org/officeDocument/2006/docPropsVTypes"/>
</file>