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خنيس
</w:t>
      </w:r>
    </w:p>
    <w:p>
      <w:pPr>
        <w:jc w:val="start"/>
        <w:bidi/>
      </w:pPr>
      <w:r>
        <w:rPr>
          <w:rFonts w:ascii="arial" w:hAnsi="arial" w:eastAsia="arial" w:cs="arial"/>
          <w:sz w:val="28"/>
          <w:szCs w:val="28"/>
          <w:b w:val="1"/>
          <w:bCs w:val="1"/>
          <w:rtl/>
        </w:rPr>
        <w:t xml:space="preserve">عبد الله بن خنيس
</w:t>
      </w:r>
    </w:p>
    <w:p>
      <w:pPr/>
      <w:r>
        <w:rPr/>
        <w:t xml:space="preserve">عبد الله بن خنيس (ب) عبد الله بن خنيس، ويقال: عبد الرحمن. وهو أصح، ويذكر في باب عبد الرحمن، إن شاء الله تعالى.</w:t>
      </w:r>
    </w:p>
    <w:p/>
    <w:p>
      <w:pPr/>
      <w:r>
        <w:rPr/>
        <w:t xml:space="preserve">أخرجه أبو عمر مختصرا.</w:t>
      </w:r>
    </w:p>
    <w:p>
      <w:pPr>
        <w:jc w:val="start"/>
        <w:bidi/>
      </w:pPr>
      <w:r>
        <w:rPr>
          <w:sz w:val="24"/>
          <w:szCs w:val="24"/>
          <w:b w:val="1"/>
          <w:bCs w:val="1"/>
          <w:rtl/>
        </w:rPr>
        <w:t xml:space="preserve">
أسد الغابة في معرفة الصحابة،(دار ابن حزم - بيروت،2012،ط 1،ج 1،ص 661)/(دار الكتب العلمية - بيروت،1994،ط 1،ج 3،ص 226)/(دار الفكر - بيروت،1989،ط 1،ج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خنيس
</w:t>
      </w:r>
    </w:p>
    <w:p>
      <w:pPr/>
      <w:r>
        <w:rPr/>
        <w:t xml:space="preserve">عبد الله بن خنيس يأتي في عبد الرحمن.</w:t>
      </w:r>
    </w:p>
    <w:p>
      <w:pPr>
        <w:jc w:val="start"/>
        <w:bidi/>
      </w:pPr>
      <w:r>
        <w:rPr>
          <w:sz w:val="24"/>
          <w:szCs w:val="24"/>
          <w:b w:val="1"/>
          <w:bCs w:val="1"/>
          <w:rtl/>
        </w:rPr>
        <w:t xml:space="preserve">
الإصابة في تمييز الصحابة،(دار الكتب العلمية - بيروت،1995،ط 1،ج 4،ص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خنيس
</w:t>
      </w:r>
    </w:p>
    <w:p>
      <w:pPr/>
      <w:r>
        <w:rPr/>
        <w:t xml:space="preserve">عبد الله بن خنيس  ويقال عبد الرحمن. وهو أصح. وقد ذكرناه في باب عبد الرحمن.</w:t>
      </w:r>
    </w:p>
    <w:p>
      <w:pPr>
        <w:jc w:val="start"/>
        <w:bidi/>
      </w:pPr>
      <w:r>
        <w:rPr>
          <w:sz w:val="24"/>
          <w:szCs w:val="24"/>
          <w:b w:val="1"/>
          <w:bCs w:val="1"/>
          <w:rtl/>
        </w:rPr>
        <w:t xml:space="preserve">
الاستيعاب في معرفة الأصحاب،(دار الجيل - بيروت،1992،ط 1،ج 3،ص 895)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خنبش
</w:t>
      </w:r>
    </w:p>
    <w:p>
      <w:pPr/>
      <w:r>
        <w:rPr/>
        <w:t xml:space="preserve">عبد الله بن خنبش </w:t>
      </w:r>
    </w:p>
    <w:p/>
    <w:p>
      <w:pPr/>
      <w:r>
        <w:rPr/>
        <w:t xml:space="preserve">ويقال عبد الرحمن بن خنبش قال أبو محمد وهو أصح وذلك أن أبا زرعة ترجم في كتاب المسند عبد الرحمن بن خنبش روى عن النبي صلى الله عليه وسلم روى عنه أبو التياح وهذا حديث رواه جعفر بن سليمان واختلف عنه فروي عفان عن جعفر عن أبي التياح عن عبد الله بن خنبش وروى عبيد الله القواريري عن جعفر عن أبي التياح عن عبد الرحمن بن خنبش عن النبي صلى الله عليه وسلم روى عنه أبو التياح عبد الله بن خنبش روى عن النبي صلى الله عليه وسلم روى عنه أبو التياح.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2026-07-27T22:55:33+03:00</dcterms:created>
  <dcterms:modified xsi:type="dcterms:W3CDTF">2026-07-27T22:55:33+03:00</dcterms:modified>
</cp:coreProperties>
</file>

<file path=docProps/custom.xml><?xml version="1.0" encoding="utf-8"?>
<Properties xmlns="http://schemas.openxmlformats.org/officeDocument/2006/custom-properties" xmlns:vt="http://schemas.openxmlformats.org/officeDocument/2006/docPropsVTypes"/>
</file>