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الدين (باشا) التونسي
</w:t>
      </w:r>
    </w:p>
    <w:p>
      <w:pPr>
        <w:jc w:val="start"/>
        <w:bidi/>
      </w:pPr>
      <w:r>
        <w:rPr>
          <w:rFonts w:ascii="arial" w:hAnsi="arial" w:eastAsia="arial" w:cs="arial"/>
          <w:sz w:val="28"/>
          <w:szCs w:val="28"/>
          <w:b w:val="1"/>
          <w:bCs w:val="1"/>
          <w:rtl/>
        </w:rPr>
        <w:t xml:space="preserve">التونسي
</w:t>
      </w:r>
    </w:p>
    <w:p>
      <w:pPr/>
      <w:r>
        <w:rPr/>
        <w:t xml:space="preserve">التونسي  خير الدين (باشا) التونسي: وزير، مؤرخ، من رجال الأصلاح الإسلامي. شركسي الأصل. قدم صغيرا إلى تونس، فاتصل بصاحبها (االباي أحمد وأثري، وتعلم بعض اللغات وتقلد مناصب عالية آخرها الوزارة. وبسعيه أعلن دستور المملكة التونسية سنة 1284هـ ، - 1867م، ولكنه ظل حبرا على ورق. وفي سنة 1294هـ ، - 1877م أبعد عن الوزارة، فخرج إلى الأستانة وتقرب من السلطان عبد الحميد العثماني فولاه الصدارة العظمى (سنة 1295هـ) فحاول أصلاح الأمور، فأعياه، فأستقال (سنة1296هـ) ونصب (عضوا) في مجلس الأعيان فاستمر إلى ان توفى بالآستانة. له (أقوم المسالك في معرفة أحوال الممالك - ط)</w:t>
      </w:r>
    </w:p>
    <w:p>
      <w:pPr>
        <w:jc w:val="start"/>
        <w:bidi/>
      </w:pPr>
      <w:r>
        <w:rPr>
          <w:sz w:val="24"/>
          <w:szCs w:val="24"/>
          <w:b w:val="1"/>
          <w:bCs w:val="1"/>
          <w:rtl/>
        </w:rPr>
        <w:t xml:space="preserve">
الأعلام،(دار العلم للملايين - بيروت،2002،ط 15،ج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2026-09-24T15:53:08+03:00</dcterms:created>
  <dcterms:modified xsi:type="dcterms:W3CDTF">2026-09-24T15:53:08+03:00</dcterms:modified>
</cp:coreProperties>
</file>

<file path=docProps/custom.xml><?xml version="1.0" encoding="utf-8"?>
<Properties xmlns="http://schemas.openxmlformats.org/officeDocument/2006/custom-properties" xmlns:vt="http://schemas.openxmlformats.org/officeDocument/2006/docPropsVTypes"/>
</file>