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عبد الله الغطفاني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عبد الله الغطفاني
</w:t>
      </w:r>
    </w:p>
    <w:p>
      <w:pPr/>
      <w:r>
        <w:rPr/>
        <w:t xml:space="preserve">زياد بن عبد الله الغطفاني زياد بن عبد الله المري الغطفاني، كان ممن فارق عيينة بن حصن في الردة، ولجأ إلى خالد بن الوليد، قاله محمد بن إسحاق.</w:t>
      </w:r>
    </w:p>
    <w:p/>
    <w:p>
      <w:pPr/>
      <w:r>
        <w:rPr/>
        <w:t xml:space="preserve">أخرجه الأشيري الأندلسي.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421)/(دار الكتب العلمية - بيروت،1994،ط 1،ج 2،ص 338)/(دار الفكر - بيروت،1989،ط 1،ج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عبد الله الغطفاني
</w:t>
      </w:r>
    </w:p>
    <w:p>
      <w:pPr/>
      <w:r>
        <w:rPr/>
        <w:t xml:space="preserve">زياد بن عبد الله الغطفاني له إدراك، وكان ممن فارق عيينة بن حصن لما بايع طليحة في الردة، ولحق بخالد بن الوليد. ذكره وثيمة، وأنشد له شعرا يقول فيه:</w:t>
      </w:r>
    </w:p>
    <w:p/>
    <w:p>
      <w:pPr>
        <w:jc w:val="center"/>
      </w:pPr>
      <w:r>
        <w:rPr>
          <w:color w:val="ff0000"/>
        </w:rPr>
        <w:t xml:space="preserve">أبلغ عيينة إن عرضت لداره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قولا يشير به الشفيق الناصح</w:t>
      </w:r>
    </w:p>
    <w:p/>
    <w:p>
      <w:pPr>
        <w:jc w:val="center"/>
      </w:pPr>
      <w:r>
        <w:rPr>
          <w:color w:val="ff0000"/>
        </w:rPr>
        <w:t xml:space="preserve">أعلمت أن طليحة بن خويلد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 كلب بأكناف البزاخة نابح</w:t>
      </w:r>
    </w:p>
    <w:p/>
    <w:p>
      <w:pPr>
        <w:jc w:val="center"/>
      </w:pPr>
      <w:r>
        <w:rPr>
          <w:color w:val="ff0000"/>
        </w:rPr>
        <w:t xml:space="preserve">كيف البقاء إذا أتاكم خالد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ومهاجرون مسومون سرائج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529)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2026-07-28T16:25:01+03:00</dcterms:created>
  <dcterms:modified xsi:type="dcterms:W3CDTF">2026-07-28T16:25:01+03:00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