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خضر القاضي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خضر القاضي
</w:t>
      </w:r>
    </w:p>
    <w:p>
      <w:pPr/>
      <w:r>
        <w:rPr/>
        <w:t xml:space="preserve">خضر القاضي  خضر بن محمد بن خضر يتصل نسبه بموسى الكاظم: قاض، من أهل بغداد. أشتغل بالتدريس. وكان فقيها فاضلا، فشرح (الوهبانية) في فقه الحنفية، و (المنظومة العمروطية) في النحو. وله (مجموعة) في الأدب. وولي القضاء في أكثر ألوية العراق متنقلا بينهما، قرابة 35عاما. ثم كان من أعضاء مجلس التمييز الشرعي ببغداد إلى ان توفى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307)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2026-09-24T12:53:46+03:00</dcterms:created>
  <dcterms:modified xsi:type="dcterms:W3CDTF">2026-09-24T12:53:46+03:00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