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خزاعة
</w:t>
      </w:r>
    </w:p>
    <w:p>
      <w:pPr>
        <w:jc w:val="start"/>
        <w:bidi/>
      </w:pPr>
      <w:r>
        <w:rPr>
          <w:rFonts w:ascii="arial" w:hAnsi="arial" w:eastAsia="arial" w:cs="arial"/>
          <w:sz w:val="28"/>
          <w:szCs w:val="28"/>
          <w:b w:val="1"/>
          <w:bCs w:val="1"/>
          <w:rtl/>
        </w:rPr>
        <w:t xml:space="preserve">خزاعة
</w:t>
      </w:r>
    </w:p>
    <w:p>
      <w:pPr/>
      <w:r>
        <w:rPr/>
        <w:t xml:space="preserve">خزاعة  خزاعة من بني عمرو بن لجي، من مزيقياء، من الأزد، من قحطان: جد جاهلي، أو لقب جد، من بني عمرو بن لحي اختلف النسابون في اسمه. وقيل: خزاعة اسم قبائل من نسل عمرو بن لحي. وفي النسابين من يجعلهم عدنانيين من مضر، والأكثر على أنهم قحطانيون. كانت منازلهم بقرب الأبواء (بين مكة والمدينة) في وادي غزال ووادي دورانوعسفان في تهامة الحجاز. ورحل بعضهم إلى الشام وعمان. وهم بطون كثيرة. صنمها في الجاهلية (ذوي الكفين) تشاركها فيه قبائل (دوس) قال المسعودي: كانت ولاية البيت الحرام في خزاعة ثلاثمائة سنة</w:t>
      </w:r>
    </w:p>
    <w:p>
      <w:pPr>
        <w:jc w:val="start"/>
        <w:bidi/>
      </w:pPr>
      <w:r>
        <w:rPr>
          <w:sz w:val="24"/>
          <w:szCs w:val="24"/>
          <w:b w:val="1"/>
          <w:bCs w:val="1"/>
          <w:rtl/>
        </w:rPr>
        <w:t xml:space="preserve">
الأعلام،(دار العلم للملايين - بيروت،2002،ط 15،ج 2،ص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2026-09-24T11:41:29+03:00</dcterms:created>
  <dcterms:modified xsi:type="dcterms:W3CDTF">2026-09-24T11:41:29+03:00</dcterms:modified>
</cp:coreProperties>
</file>

<file path=docProps/custom.xml><?xml version="1.0" encoding="utf-8"?>
<Properties xmlns="http://schemas.openxmlformats.org/officeDocument/2006/custom-properties" xmlns:vt="http://schemas.openxmlformats.org/officeDocument/2006/docPropsVTypes"/>
</file>