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الفرج
</w:t>
      </w:r>
    </w:p>
    <w:p>
      <w:pPr>
        <w:jc w:val="start"/>
        <w:bidi/>
      </w:pPr>
      <w:r>
        <w:rPr>
          <w:rFonts w:ascii="arial" w:hAnsi="arial" w:eastAsia="arial" w:cs="arial"/>
          <w:sz w:val="28"/>
          <w:szCs w:val="28"/>
          <w:b w:val="1"/>
          <w:bCs w:val="1"/>
          <w:rtl/>
        </w:rPr>
        <w:t xml:space="preserve">خالد الفرج
</w:t>
      </w:r>
    </w:p>
    <w:p>
      <w:pPr/>
      <w:r>
        <w:rPr/>
        <w:t xml:space="preserve">خالد الفرج  خالد بن محمد بن فرج، من أسرة آل طراد، من المناديل، من الدواسر: شاعر أديب مؤرخ - كان أسلافه في (نزوى) من وادي الدواسر، واستقر أبوه في الزبارة (من قطر) وخربت فانتقل إلى مسقط ثم إلى الكويت. وبها ولد خالد وتعلم وسافر إلى بومبي، في الهند، كاتبا عند أحد تجارها العرب. وأنشأ فيها مطبعة. ثم عاد إلى الكويت. وأراد السكنى في البحرين، فمنعه الإنكليز من دخولها، فنظم قصيدة مطلعها:</w:t>
      </w:r>
    </w:p>
    <w:p/>
    <w:p>
      <w:pPr/>
      <w:r>
        <w:rPr/>
        <w:t xml:space="preserve">(أن شئت بالبحرين تصبح تاجرا</w:t>
      </w:r>
    </w:p>
    <w:p/>
    <w:p>
      <w:pPr/>
      <w:r>
        <w:rPr/>
        <w:t xml:space="preserve">فاجعل بأول ما تبيع ضمائرا؟)</w:t>
      </w:r>
    </w:p>
    <w:p/>
    <w:p>
      <w:pPr/>
      <w:r>
        <w:rPr/>
        <w:t xml:space="preserve">وسكنها بعد لك وجعل من أعضا مجلسها البلدي. ودرس في مدرسة الهداية، بها. ومدح حاكم البحرين بقصائد، ثم عاد إلى الكويت (1927) واتصل بعبد العزيز آل سعود، ومدحه. وعين مديرا لبلدية الأحساء، فالقطيف فالدمام. وأنشأ في هذه (المطبعة السعودية) وزار من أجلها دمشق وبيروت، مرات. واصيب بمرض الصدر، فسكن دمشق قبل وفاته بسنتين، وتوفي ببيروت، ولم يبلغ الستين. له كتاب (الخبر والعيان - خ) في تاريخ نجد وما حولها، في العصر الحديث، و (مذكرات - خ) في تاريخ آل سعود، و (أحسن القصص - ط) في سيرة الملك عبد العزيز بن عبدالرحمن آل سعود، وهو ملحمة شعرية، بأسلوب عصري لطيف، جعل كل صفحة شعرية منها تقابلها صفحة نثرية، و (ديوان خالد الفرج - ط) وفيه من لطائفه أبيات قالها لما أعلن المستشرق الإنكليزي (فلبي) إسلامه، آخرها عن لسان أحد الأدباء: يقول ناقشت فلبي فقال سري بقلبي. . والنكتة في قلب حروف (فلبي). ومن كتبه (ملحق لديوانه - ط) و (ديوان النبط - ط) جزآن. وهو مجموعة من الشعر العامي في نجد، علق عليه بتفسير ألفاظه وتراجم بعض قائليه، و (علاج الأمية - ط) رسالة عالج فيها تبسيط الحروف العربية في الكتابة، و (رجال الخليج - خ) تراجم. وكان جميل الخط اذا تأنق. وصنف خالد بن سعود الزيد، كتاب (خالد الفرج، حياته وآثاره - ط) طبع سنة 1969م. </w:t>
      </w:r>
    </w:p>
    <w:p>
      <w:pPr>
        <w:jc w:val="start"/>
        <w:bidi/>
      </w:pPr>
      <w:r>
        <w:rPr>
          <w:sz w:val="24"/>
          <w:szCs w:val="24"/>
          <w:b w:val="1"/>
          <w:bCs w:val="1"/>
          <w:rtl/>
        </w:rPr>
        <w:t xml:space="preserve">
الأعلام،(دار العلم للملايين - بيروت،2002،ط 15،ج 2،ص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2026-09-24T10:34:05+03:00</dcterms:created>
  <dcterms:modified xsi:type="dcterms:W3CDTF">2026-09-24T10:34:05+03:00</dcterms:modified>
</cp:coreProperties>
</file>

<file path=docProps/custom.xml><?xml version="1.0" encoding="utf-8"?>
<Properties xmlns="http://schemas.openxmlformats.org/officeDocument/2006/custom-properties" xmlns:vt="http://schemas.openxmlformats.org/officeDocument/2006/docPropsVTypes"/>
</file>