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القرقني
</w:t>
      </w:r>
    </w:p>
    <w:p>
      <w:pPr>
        <w:jc w:val="start"/>
        <w:bidi/>
      </w:pPr>
      <w:r>
        <w:rPr>
          <w:rFonts w:ascii="arial" w:hAnsi="arial" w:eastAsia="arial" w:cs="arial"/>
          <w:sz w:val="28"/>
          <w:szCs w:val="28"/>
          <w:b w:val="1"/>
          <w:bCs w:val="1"/>
          <w:rtl/>
        </w:rPr>
        <w:t xml:space="preserve">القرقني
</w:t>
      </w:r>
    </w:p>
    <w:p>
      <w:pPr/>
      <w:r>
        <w:rPr/>
        <w:t xml:space="preserve">القرقني  خالد بن أحمد، أبو الوليد القرقني: مجاهد طرابلسي. من مستشاري الملك عبد العزيز آل سعود، ومن كتابه. له شعر واشتغال في الأدب. قاتل الإيطاليين أيام احتلالهم طرابلس الغرب. ورحل إلى استامبول. وانتقل إلى (جدة) تاجرا، ورآه عبد العزيز، فأعدب به، فسأله كم تربح تجارتك في العام؟ فقال: كذا، قال: أضاعفه لك وتعمل عندي. فكان بعد لك رسوله إلى هتلر، زعيم ألمانيا، ثم رسوله على رأس بعثة إلى اليمن (1932) وفي هذه الرحلة كتب (تقريره) عن بلاد عسير وقد أوردت خلاصته في كتابي شبه الجزيرة (539 - 556) وبعد وفاة عبد العزيز (1952) عاد إلى طرابلس (ليبيا) وأقام منقطعا عن كل عمل إلى أن توفي. وتلاحظ رسائل القرقني في ديوان الملك عبد العزيز بطول النفس فيا وكثرة الشواهد التاريخية القديمة، فهي أشبه بالأبحاث والدراسات منها بالرسائل الديوانية. </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2026-09-24T09:32:46+03:00</dcterms:created>
  <dcterms:modified xsi:type="dcterms:W3CDTF">2026-09-24T09:32:46+03:00</dcterms:modified>
</cp:coreProperties>
</file>

<file path=docProps/custom.xml><?xml version="1.0" encoding="utf-8"?>
<Properties xmlns="http://schemas.openxmlformats.org/officeDocument/2006/custom-properties" xmlns:vt="http://schemas.openxmlformats.org/officeDocument/2006/docPropsVTypes"/>
</file>