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حمود شرف الدين
</w:t>
      </w:r>
    </w:p>
    <w:p>
      <w:pPr>
        <w:jc w:val="start"/>
        <w:bidi/>
      </w:pPr>
      <w:r>
        <w:rPr>
          <w:rFonts w:ascii="arial" w:hAnsi="arial" w:eastAsia="arial" w:cs="arial"/>
          <w:sz w:val="28"/>
          <w:szCs w:val="28"/>
          <w:b w:val="1"/>
          <w:bCs w:val="1"/>
          <w:rtl/>
        </w:rPr>
        <w:t xml:space="preserve">حمود شرف الدين
</w:t>
      </w:r>
    </w:p>
    <w:p>
      <w:pPr/>
      <w:r>
        <w:rPr/>
        <w:t xml:space="preserve">حمود شرف الدين  حمود بن محمد بن يحيى، من آل الإمام شرف الدين: قاض، عارف بالأدب، طموح إلى الأمارة، من زيدية اليمن. نشأ في كوكبان وخرج على أميرها أحمد بن محمد. وهو خاله، فتجاذبا ثوب الأمارة. وفشل حمود، فرحا إلى صنعاء في طلب العلم، ثم عاد إلى كوكبان ودق احتلها الأتراك، فولوه التدريس والقضاء والأوقاف في بعض الجهات إلى ان قام امام يحيى حميد الدين بمصاولة الأتراك، فلبى حمود دعوته واشترك معه في قتالهم (سنة 1323هـ) فولاه القضاء ببلاد (الطويلة) فاستمر إلى ان توفى بها له كتاب في (النحو) شرح به كافية ابن الحاجب</w:t>
      </w:r>
    </w:p>
    <w:p>
      <w:pPr>
        <w:jc w:val="start"/>
        <w:bidi/>
      </w:pPr>
      <w:r>
        <w:rPr>
          <w:sz w:val="24"/>
          <w:szCs w:val="24"/>
          <w:b w:val="1"/>
          <w:bCs w:val="1"/>
          <w:rtl/>
        </w:rPr>
        <w:t xml:space="preserve">
الأعلام،(دار العلم للملايين - بيروت،2002،ط 15،ج 2،ص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2026-09-24T07:41:45+03:00</dcterms:created>
  <dcterms:modified xsi:type="dcterms:W3CDTF">2026-09-24T07:41:45+03:00</dcterms:modified>
</cp:coreProperties>
</file>

<file path=docProps/custom.xml><?xml version="1.0" encoding="utf-8"?>
<Properties xmlns="http://schemas.openxmlformats.org/officeDocument/2006/custom-properties" xmlns:vt="http://schemas.openxmlformats.org/officeDocument/2006/docPropsVTypes"/>
</file>