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يوسف بن جعفر بن علي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يوسف بن جعفر بن علي بن حسين
</w:t>
      </w:r>
    </w:p>
    <w:p>
      <w:pPr/>
      <w:r>
        <w:rPr/>
        <w:t xml:space="preserve">الشيخ يوسف بن جعفر بن علي بن حسين بن محيي الدين بن عبد اللطيف بن أبي جامع العاملي</w:t>
      </w:r>
    </w:p>
    <w:p/>
    <w:p>
      <w:pPr/>
      <w:r>
        <w:rPr/>
        <w:t xml:space="preserve">توفي في أواخر القرن الثاني عشر.</w:t>
      </w:r>
    </w:p>
    <w:p/>
    <w:p>
      <w:pPr/>
      <w:r>
        <w:rPr/>
        <w:t xml:space="preserve">ذكره الشيخ جواد محيي الدين المعاصر في كتبه في علماء آل أبي جامع وقال: كان عالما فاضلا جليلا رأيت له بعض الحواشي على بعض الكتب وأكثر ما عندنا من الكتب من موقوفاته.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2026-07-28T12:09:07+03:00</dcterms:created>
  <dcterms:modified xsi:type="dcterms:W3CDTF">2026-07-28T12:09:07+03:00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