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غياث الدين أبو منصور هبة الله 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غياث الدين أبو منصور هبة الله بن القاسم
</w:t>
      </w:r>
    </w:p>
    <w:p>
      <w:pPr/>
      <w:r>
        <w:rPr/>
        <w:t xml:space="preserve">غياث الدين أبو منصور هبة الله بن القاسم ابن محمد بن طباطبا العلوي النسابة</w:t>
      </w:r>
    </w:p>
    <w:p/>
    <w:p>
      <w:pPr/>
      <w:r>
        <w:rPr/>
        <w:t xml:space="preserve">ذكره الحافظ محب الدين محمد بن النجار في تاريخه وقال: روى عن أبيه وغيره وروى عنه أبو طاهر بن أبي الصقر الأنباري وأبو الفضل محمد بن محمد بن عيشون المنجم وكان ثقة صدوقا.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2026-07-29T04:14:01+03:00</dcterms:created>
  <dcterms:modified xsi:type="dcterms:W3CDTF">2026-07-29T04:14:01+03:00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