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الناشري
</w:t>
      </w:r>
    </w:p>
    <w:p>
      <w:pPr>
        <w:jc w:val="start"/>
        <w:bidi/>
      </w:pPr>
      <w:r>
        <w:rPr>
          <w:rFonts w:ascii="arial" w:hAnsi="arial" w:eastAsia="arial" w:cs="arial"/>
          <w:sz w:val="28"/>
          <w:szCs w:val="28"/>
          <w:b w:val="1"/>
          <w:bCs w:val="1"/>
          <w:rtl/>
        </w:rPr>
        <w:t xml:space="preserve">حمزة الناشري
</w:t>
      </w:r>
    </w:p>
    <w:p>
      <w:pPr/>
      <w:r>
        <w:rPr/>
        <w:t xml:space="preserve">حمزة الناشري  حمزة بن عبد الله بن محمد الناشري اليمني الشافعي، تقي الدين: عارف بالنبات والتاريخ والأدب، من أهل زبيد، مولدا ووفاة. كان لطيفا مرحامزواجا. من كتبه (انتهاز الفرص في الصيد والقنص) و (البستان الزاهر في طبقات علماء آل ناشر) و (سالفة العذار في الشعر المذموم والمختار) وألفية في (غريب القرآن) و (مجموع حمزة) من فتاوى علماء اليمن. وله كتاب في (النبات) سماه (حدائق الرياض)</w:t>
      </w:r>
    </w:p>
    <w:p>
      <w:pPr>
        <w:jc w:val="start"/>
        <w:bidi/>
      </w:pPr>
      <w:r>
        <w:rPr>
          <w:sz w:val="24"/>
          <w:szCs w:val="24"/>
          <w:b w:val="1"/>
          <w:bCs w:val="1"/>
          <w:rtl/>
        </w:rPr>
        <w:t xml:space="preserve">
الأعلام،(دار العلم للملايين - بيروت،2002،ط 15،ج 2،ص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الله بن محمد بن علي بن أبي بكر التقي الناشري الزبيدي الشافعي
</w:t>
      </w:r>
    </w:p>
    <w:p>
      <w:pPr/>
      <w:r>
        <w:rPr/>
        <w:t xml:space="preserve">حمزة بن عبد الله بن محمد بن علي بن أبي بكر التقي الناشري الزبيدي الشافعي </w:t>
      </w:r>
    </w:p>
    <w:p/>
    <w:p>
      <w:pPr/>
      <w:r>
        <w:rPr/>
        <w:t xml:space="preserve">ولد في ثالث عشر شوال سنة 833 ثلاث وثلاثين وثمان مائة بنخل وادي زبيد ونشأ بزبيد فحفظ القرآن والشاطبية وألفية ابن مالك وبعض الحاوي وتلى بالسبع على محمد بن أبي بكر المقري وقرأ على جماعة من علماء زبيد في فنون من العلم وأجاز له آخرون من جهات ومن جملة مشايخه صديق بن أبي الطيب والزين الشرجي والتقي بن فهد وابن ظهيرة وتردد إلى مكة وأخذ عن السخاوي وناب في قضاء زبيد وأفتى ونظم وألف مؤلفات منها مسالك التحبير في مسائل التكبير والبستان الزاهر في طبقات بنى ناشر وانتهاز الفرص في الصيد والقنص ألفه للملك المظفر وألفية في غريب القرآن وكان كثير الزواج ورزق كثيراً من الأولاد ومات غالبهم وطال عمره حتى قارب المائة وهو متمتع بحواسه يستفض الأبكار ومات في صبح يوم الخميس تاسع عشر ذي القعدة سنة 926 ست وعشرين وتسعمائة ودفن بتربة سلفه في باب سهام</w:t>
      </w:r>
    </w:p>
    <w:p>
      <w:pPr>
        <w:jc w:val="start"/>
        <w:bidi/>
      </w:pPr>
      <w:r>
        <w:rPr>
          <w:sz w:val="24"/>
          <w:szCs w:val="24"/>
          <w:b w:val="1"/>
          <w:bCs w:val="1"/>
          <w:rtl/>
        </w:rPr>
        <w:t xml:space="preserve">
البدر الطالع بمحاسن من بعد القرن السابع،(دار المعرفة - بيروت،0،ط 1،ج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2026-09-24T07:09:25+03:00</dcterms:created>
  <dcterms:modified xsi:type="dcterms:W3CDTF">2026-09-24T07:09:25+03:00</dcterms:modified>
</cp:coreProperties>
</file>

<file path=docProps/custom.xml><?xml version="1.0" encoding="utf-8"?>
<Properties xmlns="http://schemas.openxmlformats.org/officeDocument/2006/custom-properties" xmlns:vt="http://schemas.openxmlformats.org/officeDocument/2006/docPropsVTypes"/>
</file>