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هاشم ابن السيد علي صاحب البرهان
</w:t>
      </w:r>
    </w:p>
    <w:p>
      <w:pPr>
        <w:jc w:val="start"/>
        <w:bidi/>
      </w:pPr>
      <w:r>
        <w:rPr>
          <w:rFonts w:ascii="arial" w:hAnsi="arial" w:eastAsia="arial" w:cs="arial"/>
          <w:sz w:val="28"/>
          <w:szCs w:val="28"/>
          <w:b w:val="1"/>
          <w:bCs w:val="1"/>
          <w:rtl/>
        </w:rPr>
        <w:t xml:space="preserve">السيد هاشم ابن السيد علي صاحب البرهان
</w:t>
      </w:r>
    </w:p>
    <w:p>
      <w:pPr/>
      <w:r>
        <w:rPr/>
        <w:t xml:space="preserve">السيد هاشم ابن السيد علي صاحب البرهان القاطع ابن السيد محمد رضا ابن السيد مهدي بحر العلوم</w:t>
      </w:r>
    </w:p>
    <w:p/>
    <w:p>
      <w:pPr/>
      <w:r>
        <w:rPr/>
        <w:t xml:space="preserve">ولد سنة 1255 وتوفي في حياة أبيه سنة 1284 ورثته الشعراء بمراث عديدة منهم الشيخ أحمد ابن الشيخ حسن قفطان بقصيدة أولها:</w:t>
      </w:r>
    </w:p>
    <w:p/>
    <w:p>
      <w:pPr/>
      <w:r>
        <w:rPr/>
        <w:t xml:space="preserve">حسام أيام المنايا حسوم=ولكم لها فيه علينا هجوم </w:t>
      </w:r>
    </w:p>
    <w:p/>
    <w:p>
      <w:pPr/>
      <w:r>
        <w:rPr/>
        <w:t xml:space="preserve">إلى أن قال:</w:t>
      </w:r>
    </w:p>
    <w:p/>
    <w:p>
      <w:pPr>
        <w:jc w:val="center"/>
      </w:pPr>
      <w:r>
        <w:rPr>
          <w:color w:val="ff0000"/>
        </w:rPr>
        <w:t xml:space="preserve">يومك يا هاشم تاريخه</w:t>
      </w:r>
      <w:r>
        <w:rPr>
          <w:color w:val="ff0000"/>
        </w:rPr>
        <w:t xml:space="preserve">      </w:t>
      </w:r>
      <w:r>
        <w:rPr>
          <w:color w:val="ff0000"/>
        </w:rPr>
        <w:t xml:space="preserve">أقراك في الجنة بحر العلوم </w:t>
      </w:r>
    </w:p>
    <w:p/>
    <w:p>
      <w:pPr/>
      <w:r>
        <w:rPr/>
        <w:t xml:space="preserve">سنة 1284</w:t>
      </w:r>
    </w:p>
    <w:p/>
    <w:p>
      <w:pPr/>
      <w:r>
        <w:rPr/>
        <w:t xml:space="preserve">فقيه محقق من أفاضل تلاميذ السيد محمد حسن الشيرازي وقد قرأ على علماء عصره واسكن عمدة تلمذه على الميرزا الشيرازي في سامراء وله تقريرات بحث أستاذه في جملة من مباحث الأصول كمباحث مقدمة الواجب ومسألة الضد والأجزاء ودلالة النهي على الفساد ومفهوم الشرط وجواز العمل بالعام والقطع وحجية ظواهر الألفاظ والإجماع المنقول والشهرة في الفتوى ومخصصات العام وحجية خبر الواحد وتفصيل ما ذهب إليه البعض من حجية ظواهر الألفاظ وله تقرير بحثه في قاعدة السلطنة والأحكام الوضعية وقاعدة التسامح وكان أستاذه المذكور يستحسن هذه التقريرات حتى أنه أمر المولى محمد تقي القمي أحد تلامذته بنسخها عنه.</w:t>
      </w:r>
    </w:p>
    <w:p/>
    <w:p>
      <w:pPr/>
      <w:r>
        <w:rPr/>
        <w:t xml:space="preserve">وله رسالة في حجية الظن تدق على كمال فضله وغوره، وله كتابات أخرى لم تخرج إلى البياض.</w:t>
      </w:r>
    </w:p>
    <w:p>
      <w:pPr>
        <w:jc w:val="start"/>
        <w:bidi/>
      </w:pPr>
      <w:r>
        <w:rPr>
          <w:sz w:val="24"/>
          <w:szCs w:val="24"/>
          <w:b w:val="1"/>
          <w:bCs w:val="1"/>
          <w:rtl/>
        </w:rPr>
        <w:t xml:space="preserve">
أعيان الشيعة،(دار التعارف للمطبوعات - بيروت،1983،ط 1،ج 10،ص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2026-07-29T12:11:09+03:00</dcterms:created>
  <dcterms:modified xsi:type="dcterms:W3CDTF">2026-07-29T12:11:09+03:00</dcterms:modified>
</cp:coreProperties>
</file>

<file path=docProps/custom.xml><?xml version="1.0" encoding="utf-8"?>
<Properties xmlns="http://schemas.openxmlformats.org/officeDocument/2006/custom-properties" xmlns:vt="http://schemas.openxmlformats.org/officeDocument/2006/docPropsVTypes"/>
</file>