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الباجه جي
</w:t>
      </w:r>
    </w:p>
    <w:p>
      <w:pPr>
        <w:jc w:val="start"/>
        <w:bidi/>
      </w:pPr>
      <w:r>
        <w:rPr>
          <w:rFonts w:ascii="arial" w:hAnsi="arial" w:eastAsia="arial" w:cs="arial"/>
          <w:sz w:val="28"/>
          <w:szCs w:val="28"/>
          <w:b w:val="1"/>
          <w:bCs w:val="1"/>
          <w:rtl/>
        </w:rPr>
        <w:t xml:space="preserve">حمدي الباجه جي
</w:t>
      </w:r>
    </w:p>
    <w:p>
      <w:pPr/>
      <w:r>
        <w:rPr/>
        <w:t xml:space="preserve">حمدي الباجه جي  حمدي الباجه جي: من رجال السياسة والأدارة في العراق. مولده ووفاته ببغداد. تعلم بمدرسة الإدارة في استانبول. واشتغل بالحركة العربية من أوائل الحرب العامة الأولى. وعين وزيرا للأوقاف في بغداد سنة 1926م، فوزيرا للشؤون الأجتماعية. وانتخب رئيسا لمجلس النواب سنة 1941 وتولى رياسة الوزارة سنة 1944 ومثل العراق في جامعة الدول العربية مرات. والباجه جي: تلفظ (الباشجي)</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2026-09-24T06:04:57+03:00</dcterms:created>
  <dcterms:modified xsi:type="dcterms:W3CDTF">2026-09-24T06:04:57+03:00</dcterms:modified>
</cp:coreProperties>
</file>

<file path=docProps/custom.xml><?xml version="1.0" encoding="utf-8"?>
<Properties xmlns="http://schemas.openxmlformats.org/officeDocument/2006/custom-properties" xmlns:vt="http://schemas.openxmlformats.org/officeDocument/2006/docPropsVTypes"/>
</file>