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مهدي بن صالح بن أحمد الحسني الطباطبائي
</w:t>
      </w:r>
    </w:p>
    <w:p>
      <w:pPr>
        <w:jc w:val="start"/>
        <w:bidi/>
      </w:pPr>
      <w:r>
        <w:rPr>
          <w:rFonts w:ascii="arial" w:hAnsi="arial" w:eastAsia="arial" w:cs="arial"/>
          <w:sz w:val="28"/>
          <w:szCs w:val="28"/>
          <w:b w:val="1"/>
          <w:bCs w:val="1"/>
          <w:rtl/>
        </w:rPr>
        <w:t xml:space="preserve">السيد مهدي بن صالح بن أحمد الحسني الطباطبائي
</w:t>
      </w:r>
    </w:p>
    <w:p>
      <w:pPr/>
      <w:r>
        <w:rPr/>
        <w:t xml:space="preserve">السيد مهدي بن صالح بن أحمد الحسني الطباطبائي السيد مهدي ابن السيد صالح ابن السيد أحمد ابن السيد محمود الحكيم الحسني الطباطبائي النجفي الأصل المعروف بالتوتنجي نزيل جبل عامل</w:t>
      </w:r>
    </w:p>
    <w:p/>
    <w:p>
      <w:pPr/>
      <w:r>
        <w:rPr/>
        <w:t xml:space="preserve">من آل الحكيم سدنة الروضة المقدسة الحيدرية توفي في جبل عامل سنة 1312 ودفن في بنت جبيل عند مسجدها الجامع.</w:t>
      </w:r>
    </w:p>
    <w:p/>
    <w:p>
      <w:pPr/>
      <w:r>
        <w:rPr/>
        <w:t xml:space="preserve">تفقه بالميرزا الشيرازي والميرزا حبيب الله الرشتي والسيد حسين الترك وأخيرا بالملا الخراساني والملا حسين قلي الهمداني وأجيز بالاجتهاد من الشيخ محمد طه نجف.</w:t>
      </w:r>
    </w:p>
    <w:p/>
    <w:p>
      <w:pPr/>
      <w:r>
        <w:rPr/>
        <w:t xml:space="preserve">لما أراد المجيء إلى جبل عامل وكان جماعة من جبل عامل بعد وفاة الشيخ موسى شرارة كاتبوا الشيخ محمد حسين الكاظمي بطلب عالم ثم اقترحوا عليه أما السيد إسماعيل الصدر أو السيد مهدي الحكيم لأن الشيخ موسى كان يذكر لهم أن السيد مهدي رفيقه عند الملا حسين قلي في دروس الأخلاق وأرسلوا برقية بذلك فأجابهم: الحكيم موقوف صدر الدين محال ثم جرت أمور كثيرة ومخابرات طويلة حضر بعدها السيد مهدي إلى جبل عامل وكانوا يأملون بمجيئه عمران الدروس وانتشار العلم فلم يكن ما أملوه وأنصرف إلى الوعظ والأسفار ثم عاد إلى النجف ونحن هناك سنة 1309 ثم عاد إلى جبل عامل سنة 1310 وحج ومات بعد رجوعه. صنف (1) مدارك الأحكام في شرح شرائع الإسلام (2) شرح جملة من العبادات (3) تحفة العابدين جزء صغير في المواعظ مع اقتباسات من نهج البلاغة مطبوع (4) شرح حجية القطع من أرجوزة الشيخ موسى شرارة في الأصول (5) رسالة في التعادل والتراجيح.</w:t>
      </w:r>
    </w:p>
    <w:p/>
    <w:p>
      <w:pPr/>
      <w:r>
        <w:rPr/>
        <w:t xml:space="preserve">تخلف بالسيد محمود والسيد محسن والسيد هاشم.</w:t>
      </w:r>
    </w:p>
    <w:p>
      <w:pPr>
        <w:jc w:val="start"/>
        <w:bidi/>
      </w:pPr>
      <w:r>
        <w:rPr>
          <w:sz w:val="24"/>
          <w:szCs w:val="24"/>
          <w:b w:val="1"/>
          <w:bCs w:val="1"/>
          <w:rtl/>
        </w:rPr>
        <w:t xml:space="preserve">
أعيان الشيعة،(دار التعارف للمطبوعات - بيروت،1983،ط 1،ج 10،ص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2026-07-28T01:09:34+03:00</dcterms:created>
  <dcterms:modified xsi:type="dcterms:W3CDTF">2026-07-28T01:09:34+03:00</dcterms:modified>
</cp:coreProperties>
</file>

<file path=docProps/custom.xml><?xml version="1.0" encoding="utf-8"?>
<Properties xmlns="http://schemas.openxmlformats.org/officeDocument/2006/custom-properties" xmlns:vt="http://schemas.openxmlformats.org/officeDocument/2006/docPropsVTypes"/>
</file>