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مهدي بن حيدر الموسوي الصفوي الكشميري
</w:t>
      </w:r>
    </w:p>
    <w:p>
      <w:pPr>
        <w:jc w:val="start"/>
        <w:bidi/>
      </w:pPr>
      <w:r>
        <w:rPr>
          <w:rFonts w:ascii="arial" w:hAnsi="arial" w:eastAsia="arial" w:cs="arial"/>
          <w:sz w:val="28"/>
          <w:szCs w:val="28"/>
          <w:b w:val="1"/>
          <w:bCs w:val="1"/>
          <w:rtl/>
        </w:rPr>
        <w:t xml:space="preserve">السيد مهدي بن حيدر الموسوي الصفوي الكشميري
</w:t>
      </w:r>
    </w:p>
    <w:p>
      <w:pPr/>
      <w:r>
        <w:rPr/>
        <w:t xml:space="preserve">السيد مهدي بن حيدر الموسوي الصفوي الكشميري توفي سنة 1310 في كشمير وقبره في قرية يقال لها ’’بدكام’’ من قرى كشمير مزار مشهور.</w:t>
      </w:r>
    </w:p>
    <w:p/>
    <w:p>
      <w:pPr/>
      <w:r>
        <w:rPr/>
        <w:t xml:space="preserve">كان عالما جليلا رئيسا ببلاد كشمير له تآليف كثيرة منها كتاب التمرينات الغروية في تنقيح غوامض المسائل الأصولية والفقهية ورسالة مطفئة الحر ورسالة منقذة الغرقى وينتهي نسبه إلى السيد شمس الدين دانيال الشهيد.</w:t>
      </w:r>
    </w:p>
    <w:p>
      <w:pPr>
        <w:jc w:val="start"/>
        <w:bidi/>
      </w:pPr>
      <w:r>
        <w:rPr>
          <w:sz w:val="24"/>
          <w:szCs w:val="24"/>
          <w:b w:val="1"/>
          <w:bCs w:val="1"/>
          <w:rtl/>
        </w:rPr>
        <w:t xml:space="preserve">
أعيان الشيعة،(دار التعارف للمطبوعات - بيروت،1983،ط 1،ج 10،ص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2026-07-29T04:16:46+03:00</dcterms:created>
  <dcterms:modified xsi:type="dcterms:W3CDTF">2026-07-29T04:16:46+03:00</dcterms:modified>
</cp:coreProperties>
</file>

<file path=docProps/custom.xml><?xml version="1.0" encoding="utf-8"?>
<Properties xmlns="http://schemas.openxmlformats.org/officeDocument/2006/custom-properties" xmlns:vt="http://schemas.openxmlformats.org/officeDocument/2006/docPropsVTypes"/>
</file>