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عتيق
</w:t>
      </w:r>
    </w:p>
    <w:p>
      <w:pPr>
        <w:jc w:val="start"/>
        <w:bidi/>
      </w:pPr>
      <w:r>
        <w:rPr>
          <w:rFonts w:ascii="arial" w:hAnsi="arial" w:eastAsia="arial" w:cs="arial"/>
          <w:sz w:val="28"/>
          <w:szCs w:val="28"/>
          <w:b w:val="1"/>
          <w:bCs w:val="1"/>
          <w:rtl/>
        </w:rPr>
        <w:t xml:space="preserve">ابن عتيق
</w:t>
      </w:r>
    </w:p>
    <w:p>
      <w:pPr/>
      <w:r>
        <w:rPr/>
        <w:t xml:space="preserve">ابن عتيق  حمد بن علي بن محمد بن عتيق: قاض حنبلي من علماء نجد. ولد في بلدة الزلفي. وتفقه في الرياض. وولي قضاء الحلوة ثم قضاء الأفلاج إلى أن توفي. له كتب مختصرة مطبوعة، منها (إبطال التنديد باختصار شرح التوحيد) و (بيان النجاة والفكاك، من موالاة المرتدين وأهل الإشراك) و (الدفاع، عن أهل السنة والاتباع) كلها رسائل في الدعوة إلى التوحيد. قلت: ونسخ بخطه كثيرا من كتب الحنابلة وبعض رسائل ابن تيمية، رأيت طائفة منها في خزانة الجاويش ببيروت، بينها (اجتماع الجيوش الإسلامية) لابن القيم، كتبها سنة 1251. وهو والد (سعد بن حمد) المتقدمة ترجمته في الأعلام. </w:t>
      </w:r>
    </w:p>
    <w:p>
      <w:pPr>
        <w:jc w:val="start"/>
        <w:bidi/>
      </w:pPr>
      <w:r>
        <w:rPr>
          <w:sz w:val="24"/>
          <w:szCs w:val="24"/>
          <w:b w:val="1"/>
          <w:bCs w:val="1"/>
          <w:rtl/>
        </w:rPr>
        <w:t xml:space="preserve">
الأعلام،(دار العلم للملايين - بيروت،2002،ط 15،ج 2،ص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2026-09-24T05:49:18+03:00</dcterms:created>
  <dcterms:modified xsi:type="dcterms:W3CDTF">2026-09-24T05:49:18+03:00</dcterms:modified>
</cp:coreProperties>
</file>

<file path=docProps/custom.xml><?xml version="1.0" encoding="utf-8"?>
<Properties xmlns="http://schemas.openxmlformats.org/officeDocument/2006/custom-properties" xmlns:vt="http://schemas.openxmlformats.org/officeDocument/2006/docPropsVTypes"/>
</file>