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القلعة
</w:t>
      </w:r>
    </w:p>
    <w:p>
      <w:pPr>
        <w:jc w:val="start"/>
        <w:bidi/>
      </w:pPr>
      <w:r>
        <w:rPr>
          <w:rFonts w:ascii="arial" w:hAnsi="arial" w:eastAsia="arial" w:cs="arial"/>
          <w:sz w:val="28"/>
          <w:szCs w:val="28"/>
          <w:b w:val="1"/>
          <w:bCs w:val="1"/>
          <w:rtl/>
        </w:rPr>
        <w:t xml:space="preserve">صاحب القلعة
</w:t>
      </w:r>
    </w:p>
    <w:p>
      <w:pPr/>
      <w:r>
        <w:rPr/>
        <w:t xml:space="preserve">صاحب القلعة  حماد بن بلكين (يوسف) بن زيري ابن مناد الصنهاجي: صاحب (قلعة حماد) وإليه نسبتها. كان شجاعا جوادا، قرأ الفقه في القيروان وعاش مع أبيه وأخيه المنصور بن بلكين (أنظر ترجمته في الأعلام) وتوفي المنصور (386) وخلفه ابنه باديس، وهو صغير السن، (أنظر ترجمته في الأعلام) وتولى أعماله عمه حماد في القيروان. ومات باديس (406) فكادت تؤول الدولة بافريقية إلى حماد. وبويع المعز بن باديس، فاقتتل حماد وجيش المعز وظفر هذاز ويقةل ياقوت: ان حمادا أحدث القلعة في حدود سنة 370 واستمر إلى أن توفي بها أو بإحدى قرى بجاية. </w:t>
      </w:r>
    </w:p>
    <w:p>
      <w:pPr>
        <w:jc w:val="start"/>
        <w:bidi/>
      </w:pPr>
      <w:r>
        <w:rPr>
          <w:sz w:val="24"/>
          <w:szCs w:val="24"/>
          <w:b w:val="1"/>
          <w:bCs w:val="1"/>
          <w:rtl/>
        </w:rPr>
        <w:t xml:space="preserve">
الأعلام،(دار العلم للملايين - بيروت،2002،ط 15،ج 2،ص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2026-09-24T05:19:57+03:00</dcterms:created>
  <dcterms:modified xsi:type="dcterms:W3CDTF">2026-09-24T05:19:57+03:00</dcterms:modified>
</cp:coreProperties>
</file>

<file path=docProps/custom.xml><?xml version="1.0" encoding="utf-8"?>
<Properties xmlns="http://schemas.openxmlformats.org/officeDocument/2006/custom-properties" xmlns:vt="http://schemas.openxmlformats.org/officeDocument/2006/docPropsVTypes"/>
</file>