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محمود بن أبي القاسم الطهراني المعاصر
</w:t>
      </w:r>
    </w:p>
    <w:p>
      <w:pPr>
        <w:jc w:val="start"/>
        <w:bidi/>
      </w:pPr>
      <w:r>
        <w:rPr>
          <w:rFonts w:ascii="arial" w:hAnsi="arial" w:eastAsia="arial" w:cs="arial"/>
          <w:sz w:val="28"/>
          <w:szCs w:val="28"/>
          <w:b w:val="1"/>
          <w:bCs w:val="1"/>
          <w:rtl/>
        </w:rPr>
        <w:t xml:space="preserve">الميرزا محمود بن أبي القاسم الطهراني المعاصر
</w:t>
      </w:r>
    </w:p>
    <w:p>
      <w:pPr/>
      <w:r>
        <w:rPr/>
        <w:t xml:space="preserve">الميرزا محمود بن أبي القاسم الطهراني المعاصر له كتاب كشف الارتياب عن تحريف كتاب رب الأرباب يرد به على كتاب فصل الخطاب لميرزا حسين النوري منه نسخة مخطوطة عند الشيخ عبد المولى الطريحي فرغ منه مؤلفه 17 جمادى الآخرة من السنة الثانية من المائة الرابعة بعد الألف هجرية وعليه تقريظ للسيد أبو طالب الموسوي الزنجاني.</w:t>
      </w:r>
    </w:p>
    <w:p>
      <w:pPr>
        <w:jc w:val="start"/>
        <w:bidi/>
      </w:pPr>
      <w:r>
        <w:rPr>
          <w:sz w:val="24"/>
          <w:szCs w:val="24"/>
          <w:b w:val="1"/>
          <w:bCs w:val="1"/>
          <w:rtl/>
        </w:rPr>
        <w:t xml:space="preserve">
أعيان الشيعة،(دار التعارف للمطبوعات - بيروت،1983،ط 1،ج 10،ص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2026-07-29T01:17:12+03:00</dcterms:created>
  <dcterms:modified xsi:type="dcterms:W3CDTF">2026-07-29T01:17:12+03:00</dcterms:modified>
</cp:coreProperties>
</file>

<file path=docProps/custom.xml><?xml version="1.0" encoding="utf-8"?>
<Properties xmlns="http://schemas.openxmlformats.org/officeDocument/2006/custom-properties" xmlns:vt="http://schemas.openxmlformats.org/officeDocument/2006/docPropsVTypes"/>
</file>