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مهدي بن محمد 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مهدي بن محمد هادي
</w:t>
      </w:r>
    </w:p>
    <w:p>
      <w:pPr/>
      <w:r>
        <w:rPr/>
        <w:t xml:space="preserve">المولى محمد مهدي بن محمد هادي له كتاب بشارة الشيعة في مسائل الشريعة من العبادات</w:t>
      </w:r>
    </w:p>
    <w:p/>
    <w:p>
      <w:pPr/>
      <w:r>
        <w:rPr/>
        <w:t xml:space="preserve">#والمعاملات فرغ منه في صفر سنة 1114 ذكر فيه أحاديث أصحاب العصمة التي أخذها من الكتب المعتبرة وعد هذه الكتب في آخره.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2026-07-28T12:53:50+03:00</dcterms:created>
  <dcterms:modified xsi:type="dcterms:W3CDTF">2026-07-28T12:53:50+03:00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