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محمد كاظم شفيع الهزار جريبي الحائري
</w:t>
      </w:r>
    </w:p>
    <w:p>
      <w:pPr>
        <w:jc w:val="start"/>
        <w:bidi/>
      </w:pPr>
      <w:r>
        <w:rPr>
          <w:rFonts w:ascii="arial" w:hAnsi="arial" w:eastAsia="arial" w:cs="arial"/>
          <w:sz w:val="28"/>
          <w:szCs w:val="28"/>
          <w:b w:val="1"/>
          <w:bCs w:val="1"/>
          <w:rtl/>
        </w:rPr>
        <w:t xml:space="preserve">ملا محمد كاظم شفيع الهزار جريبي الحائري
</w:t>
      </w:r>
    </w:p>
    <w:p>
      <w:pPr/>
      <w:r>
        <w:rPr/>
        <w:t xml:space="preserve">ملا محمد كاظم شفيع الهزار جريبي الحائري ذكره النوري في دار السلام فقال: العالم الفاضل الجليل محمد طاظم الهزار جريبي رحمة الله عليه وهو تلميذ الآقا محمد باقر البهبهاني وله من المؤلفات تحفة المجاورين يروي فيه عن شيخه البهبهاني وعن الميرزا محمد مهدي الشهرستاني وعن صاحب الرياض وله تذكرة الفتن وله رسائل ومصنفات مثيرة فصل الخطاب في الاحتجاج يشبه احتجاج الطبرسي.</w:t>
      </w:r>
    </w:p>
    <w:p>
      <w:pPr>
        <w:jc w:val="start"/>
        <w:bidi/>
      </w:pPr>
      <w:r>
        <w:rPr>
          <w:sz w:val="24"/>
          <w:szCs w:val="24"/>
          <w:b w:val="1"/>
          <w:bCs w:val="1"/>
          <w:rtl/>
        </w:rPr>
        <w:t xml:space="preserve">
أعيان الشيعة،(دار التعارف للمطبوعات - بيروت،1983،ط 1،ج 10،ص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2026-07-29T07:12:47+03:00</dcterms:created>
  <dcterms:modified xsi:type="dcterms:W3CDTF">2026-07-29T07:12:47+03:00</dcterms:modified>
</cp:coreProperties>
</file>

<file path=docProps/custom.xml><?xml version="1.0" encoding="utf-8"?>
<Properties xmlns="http://schemas.openxmlformats.org/officeDocument/2006/custom-properties" xmlns:vt="http://schemas.openxmlformats.org/officeDocument/2006/docPropsVTypes"/>
</file>