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صالح بن محمد القزويني الكربلائي
</w:t>
      </w:r>
    </w:p>
    <w:p>
      <w:pPr>
        <w:jc w:val="start"/>
        <w:bidi/>
      </w:pPr>
      <w:r>
        <w:rPr>
          <w:rFonts w:ascii="arial" w:hAnsi="arial" w:eastAsia="arial" w:cs="arial"/>
          <w:sz w:val="28"/>
          <w:szCs w:val="28"/>
          <w:b w:val="1"/>
          <w:bCs w:val="1"/>
          <w:rtl/>
        </w:rPr>
        <w:t xml:space="preserve">الشيخ محمد صالح بن محمد القزويني الكربلائي
</w:t>
      </w:r>
    </w:p>
    <w:p>
      <w:pPr/>
      <w:r>
        <w:rPr/>
        <w:t xml:space="preserve">الشيخ محمد صالح بن محمد القزويني الكربلائي له كتاب بحر العرفان من تفسير مفتاح الجنان وله مفتاح البكاء في مصيبة خامس آل العباء رأينا منه نسخة مخطوطة في طهران في مكتبة شريعتمدار الرشتي فرغ منها مؤلفها في ربيع الآخر 1070.</w:t>
      </w:r>
    </w:p>
    <w:p>
      <w:pPr>
        <w:jc w:val="start"/>
        <w:bidi/>
      </w:pPr>
      <w:r>
        <w:rPr>
          <w:sz w:val="24"/>
          <w:szCs w:val="24"/>
          <w:b w:val="1"/>
          <w:bCs w:val="1"/>
          <w:rtl/>
        </w:rPr>
        <w:t xml:space="preserve">
أعيان الشيعة،(دار التعارف للمطبوعات - بيروت،1983،ط 1،ج 9،ص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2026-07-28T05:49:49+03:00</dcterms:created>
  <dcterms:modified xsi:type="dcterms:W3CDTF">2026-07-28T05:49:49+03:00</dcterms:modified>
</cp:coreProperties>
</file>

<file path=docProps/custom.xml><?xml version="1.0" encoding="utf-8"?>
<Properties xmlns="http://schemas.openxmlformats.org/officeDocument/2006/custom-properties" xmlns:vt="http://schemas.openxmlformats.org/officeDocument/2006/docPropsVTypes"/>
</file>