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جعفر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جعفر بن محمد
</w:t>
      </w:r>
    </w:p>
    <w:p>
      <w:pPr/>
      <w:r>
        <w:rPr/>
        <w:t xml:space="preserve">السيد محمد جعفر بن محمد علي القاشاني الحسيني</w:t>
      </w:r>
    </w:p>
    <w:p/>
    <w:p>
      <w:pPr/>
      <w:r>
        <w:rPr/>
        <w:t xml:space="preserve">له الرسالة الشرطية في الشروط وأقسامها وأحكامها مطبوعة كتبها سنة 1299.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2026-07-28T18:20:16+03:00</dcterms:created>
  <dcterms:modified xsi:type="dcterms:W3CDTF">2026-07-28T18:20:16+03:00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