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تقي الرضوي المشهور بمير شاهي
</w:t>
      </w:r>
    </w:p>
    <w:p>
      <w:pPr>
        <w:jc w:val="start"/>
        <w:bidi/>
      </w:pPr>
      <w:r>
        <w:rPr>
          <w:rFonts w:ascii="arial" w:hAnsi="arial" w:eastAsia="arial" w:cs="arial"/>
          <w:sz w:val="28"/>
          <w:szCs w:val="28"/>
          <w:b w:val="1"/>
          <w:bCs w:val="1"/>
          <w:rtl/>
        </w:rPr>
        <w:t xml:space="preserve">السيد محمد تقي الرضوي المشهور بمير شاهي
</w:t>
      </w:r>
    </w:p>
    <w:p>
      <w:pPr/>
      <w:r>
        <w:rPr/>
        <w:t xml:space="preserve">السيد محمد تقي الرضوي المشهور بمير شاهي توفي في المشهد المقدس سنة 1150 ودفن بمقبرة قتل كاه.</w:t>
      </w:r>
    </w:p>
    <w:p/>
    <w:p>
      <w:pPr/>
      <w:r>
        <w:rPr/>
        <w:t xml:space="preserve">كان واحد عصره في العبادة والرياضة والورع والزهد كما كان سميه المير خدائي المقدم ذكره إلا إن المير خدائي كان أكثر تقيدا بظاهر الشريعة ومير شاهي بجادة الطريقة ويقال إن رضا قلي ميرزا بن نادر شاه لما عزم على فتح ما وراء النهر بأمر أبيه نادر شاه جاء إليه واستمد منه البركة فقال له إذا كان سفرك هذا لوجه الله فالله معك وإلا فلا تصل إلى مطلوبك.</w:t>
      </w:r>
    </w:p>
    <w:p>
      <w:pPr>
        <w:jc w:val="start"/>
        <w:bidi/>
      </w:pPr>
      <w:r>
        <w:rPr>
          <w:sz w:val="24"/>
          <w:szCs w:val="24"/>
          <w:b w:val="1"/>
          <w:bCs w:val="1"/>
          <w:rtl/>
        </w:rPr>
        <w:t xml:space="preserve">
أعيان الشيعة،(دار التعارف للمطبوعات - بيروت،1983،ط 1،ج 9،ص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2026-07-27T23:33:50+03:00</dcterms:created>
  <dcterms:modified xsi:type="dcterms:W3CDTF">2026-07-27T23:33:50+03:00</dcterms:modified>
</cp:coreProperties>
</file>

<file path=docProps/custom.xml><?xml version="1.0" encoding="utf-8"?>
<Properties xmlns="http://schemas.openxmlformats.org/officeDocument/2006/custom-properties" xmlns:vt="http://schemas.openxmlformats.org/officeDocument/2006/docPropsVTypes"/>
</file>